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988EE" w14:textId="77777777" w:rsidR="008D14F3" w:rsidRPr="008D14F3" w:rsidRDefault="008D14F3" w:rsidP="008D14F3">
      <w:pPr>
        <w:shd w:val="clear" w:color="auto" w:fill="FFFFFF"/>
        <w:spacing w:before="120" w:after="120" w:line="240" w:lineRule="auto"/>
        <w:jc w:val="center"/>
        <w:rPr>
          <w:rFonts w:eastAsia="Times New Roman" w:cs="Calibri"/>
          <w:b/>
          <w:bCs/>
          <w:color w:val="262626" w:themeColor="text1" w:themeTint="D9"/>
          <w:kern w:val="2"/>
          <w:sz w:val="24"/>
          <w:szCs w:val="24"/>
          <w:lang w:eastAsia="tr-TR"/>
          <w14:ligatures w14:val="standardContextual"/>
        </w:rPr>
      </w:pPr>
      <w:bookmarkStart w:id="0" w:name="_Toc115441224"/>
      <w:bookmarkStart w:id="1" w:name="_Toc131686617"/>
      <w:bookmarkStart w:id="2" w:name="_Toc132626867"/>
      <w:r w:rsidRPr="008D14F3">
        <w:rPr>
          <w:rFonts w:eastAsia="Times New Roman" w:cs="Calibri"/>
          <w:b/>
          <w:bCs/>
          <w:color w:val="262626" w:themeColor="text1" w:themeTint="D9"/>
          <w:kern w:val="2"/>
          <w:sz w:val="24"/>
          <w:szCs w:val="24"/>
          <w:lang w:eastAsia="tr-TR"/>
          <w14:ligatures w14:val="standardContextual"/>
        </w:rPr>
        <w:t>YATIRIM HİZMET VE FAALİYETLERİ GENEL RİSK BİLDİRİM FORMU</w:t>
      </w:r>
    </w:p>
    <w:p w14:paraId="2DB6EAF4" w14:textId="77777777" w:rsidR="008D14F3" w:rsidRPr="008D14F3" w:rsidRDefault="008D14F3" w:rsidP="008D14F3">
      <w:pPr>
        <w:shd w:val="clear" w:color="auto" w:fill="FFFFFF"/>
        <w:spacing w:before="240" w:after="120" w:line="259" w:lineRule="auto"/>
        <w:rPr>
          <w:rFonts w:eastAsiaTheme="minorHAnsi" w:cs="Calibri"/>
          <w:b/>
          <w:caps/>
          <w:color w:val="262626" w:themeColor="text1" w:themeTint="D9"/>
          <w:kern w:val="2"/>
          <w:u w:val="single"/>
          <w14:ligatures w14:val="standardContextual"/>
        </w:rPr>
      </w:pPr>
      <w:r w:rsidRPr="008D14F3">
        <w:rPr>
          <w:rFonts w:eastAsiaTheme="minorHAnsi" w:cs="Calibri"/>
          <w:b/>
          <w:caps/>
          <w:color w:val="262626" w:themeColor="text1" w:themeTint="D9"/>
          <w:kern w:val="2"/>
          <w:u w:val="single"/>
          <w14:ligatures w14:val="standardContextual"/>
        </w:rPr>
        <w:t>Önemli Açıklama</w:t>
      </w:r>
    </w:p>
    <w:p w14:paraId="5D6059F9" w14:textId="77777777" w:rsidR="008D14F3" w:rsidRPr="008D14F3" w:rsidRDefault="008D14F3" w:rsidP="008D14F3">
      <w:pPr>
        <w:shd w:val="clear" w:color="auto" w:fill="FFFFFF"/>
        <w:spacing w:before="120" w:after="120" w:line="240" w:lineRule="auto"/>
        <w:jc w:val="both"/>
        <w:rPr>
          <w:rFonts w:eastAsia="Times New Roman" w:cs="Calibri"/>
          <w:color w:val="262626" w:themeColor="text1" w:themeTint="D9"/>
          <w:kern w:val="2"/>
          <w:lang w:eastAsia="tr-TR"/>
          <w14:ligatures w14:val="standardContextual"/>
        </w:rPr>
      </w:pPr>
      <w:r w:rsidRPr="008D14F3">
        <w:rPr>
          <w:rFonts w:eastAsia="Times New Roman" w:cs="Calibri"/>
          <w:color w:val="262626" w:themeColor="text1" w:themeTint="D9"/>
          <w:kern w:val="2"/>
          <w:lang w:eastAsia="tr-TR"/>
          <w14:ligatures w14:val="standardContextual"/>
        </w:rPr>
        <w:t xml:space="preserve">Sermaye piyasalarında yapacağınız işlemler sonucunda kar elde edebileceğiniz gibi zarar riskiniz de bulunmaktadır. Bu nedenle, işlem yapmaya karar vermeden önce, piyasada karşılaşabileceğiniz riskleri anlamanız, mali durumunuzu ve kısıtlarınızı dikkate alarak karar vermeniz gerekmektedir. Bu amaçla, III-39.1 sayılı "Yatırım Kuruluşlarının Kuruluş ve Faaliyet Esasları Hakkında </w:t>
      </w:r>
      <w:proofErr w:type="spellStart"/>
      <w:r w:rsidRPr="008D14F3">
        <w:rPr>
          <w:rFonts w:eastAsia="Times New Roman" w:cs="Calibri"/>
          <w:color w:val="262626" w:themeColor="text1" w:themeTint="D9"/>
          <w:kern w:val="2"/>
          <w:lang w:eastAsia="tr-TR"/>
          <w14:ligatures w14:val="standardContextual"/>
        </w:rPr>
        <w:t>Tebliğ"in</w:t>
      </w:r>
      <w:proofErr w:type="spellEnd"/>
      <w:r w:rsidRPr="008D14F3">
        <w:rPr>
          <w:rFonts w:eastAsia="Times New Roman" w:cs="Calibri"/>
          <w:color w:val="262626" w:themeColor="text1" w:themeTint="D9"/>
          <w:kern w:val="2"/>
          <w:lang w:eastAsia="tr-TR"/>
          <w14:ligatures w14:val="standardContextual"/>
        </w:rPr>
        <w:t xml:space="preserve"> 25 inci maddesinde öngörüldüğü üzere "Yatırım Hizmet ve Faaliyetleri Genel Risk Bildirim </w:t>
      </w:r>
      <w:proofErr w:type="spellStart"/>
      <w:r w:rsidRPr="008D14F3">
        <w:rPr>
          <w:rFonts w:eastAsia="Times New Roman" w:cs="Calibri"/>
          <w:color w:val="262626" w:themeColor="text1" w:themeTint="D9"/>
          <w:kern w:val="2"/>
          <w:lang w:eastAsia="tr-TR"/>
          <w14:ligatures w14:val="standardContextual"/>
        </w:rPr>
        <w:t>Formu"nda</w:t>
      </w:r>
      <w:proofErr w:type="spellEnd"/>
      <w:r w:rsidRPr="008D14F3">
        <w:rPr>
          <w:rFonts w:eastAsia="Times New Roman" w:cs="Calibri"/>
          <w:color w:val="262626" w:themeColor="text1" w:themeTint="D9"/>
          <w:kern w:val="2"/>
          <w:lang w:eastAsia="tr-TR"/>
          <w14:ligatures w14:val="standardContextual"/>
        </w:rPr>
        <w:t xml:space="preserve"> yer alan aşağıdaki hususları anlamanız gerekmektedir.</w:t>
      </w:r>
    </w:p>
    <w:p w14:paraId="54687C4C" w14:textId="77777777" w:rsidR="008D14F3" w:rsidRPr="008D14F3" w:rsidRDefault="008D14F3" w:rsidP="008D14F3">
      <w:pPr>
        <w:shd w:val="clear" w:color="auto" w:fill="FFFFFF"/>
        <w:spacing w:before="120" w:after="120" w:line="259" w:lineRule="auto"/>
        <w:rPr>
          <w:rFonts w:eastAsiaTheme="minorHAnsi" w:cs="Calibri"/>
          <w:b/>
          <w:caps/>
          <w:color w:val="262626" w:themeColor="text1" w:themeTint="D9"/>
          <w:kern w:val="2"/>
          <w:u w:val="single"/>
          <w14:ligatures w14:val="standardContextual"/>
        </w:rPr>
      </w:pPr>
      <w:r w:rsidRPr="008D14F3">
        <w:rPr>
          <w:rFonts w:eastAsiaTheme="minorHAnsi" w:cs="Calibri"/>
          <w:b/>
          <w:caps/>
          <w:color w:val="262626" w:themeColor="text1" w:themeTint="D9"/>
          <w:kern w:val="2"/>
          <w:u w:val="single"/>
          <w14:ligatures w14:val="standardContextual"/>
        </w:rPr>
        <w:t>Uyarı</w:t>
      </w:r>
    </w:p>
    <w:p w14:paraId="47755D74" w14:textId="77777777" w:rsidR="008D14F3" w:rsidRPr="008D14F3" w:rsidRDefault="008D14F3" w:rsidP="008D14F3">
      <w:pPr>
        <w:shd w:val="clear" w:color="auto" w:fill="FFFFFF"/>
        <w:spacing w:before="120" w:after="120" w:line="259" w:lineRule="auto"/>
        <w:jc w:val="both"/>
        <w:rPr>
          <w:rFonts w:eastAsia="Times New Roman" w:cs="Calibri"/>
          <w:color w:val="262626" w:themeColor="text1" w:themeTint="D9"/>
          <w:kern w:val="2"/>
          <w:lang w:eastAsia="tr-TR"/>
          <w14:ligatures w14:val="standardContextual"/>
        </w:rPr>
      </w:pPr>
      <w:r w:rsidRPr="008D14F3">
        <w:rPr>
          <w:rFonts w:eastAsia="Times New Roman" w:cs="Calibri"/>
          <w:color w:val="262626" w:themeColor="text1" w:themeTint="D9"/>
          <w:kern w:val="2"/>
          <w:lang w:eastAsia="tr-TR"/>
          <w14:ligatures w14:val="standardContextual"/>
        </w:rPr>
        <w:t xml:space="preserve">İşlem yapmaya başlamadan önce çalışmayı düşündüğünüz kuruluşun yapmak istediğiniz sermaye piyasası işlemlerine ilişkin yetkisi olup olmadığını kontrol ediniz. Sermaye piyasası işlemleri konusunda yetkili olan banka ve sermaye piyasası aracı kurumlarını </w:t>
      </w:r>
      <w:hyperlink r:id="rId8" w:history="1">
        <w:r w:rsidRPr="008D14F3">
          <w:rPr>
            <w:rFonts w:eastAsia="Times New Roman" w:cs="Calibri"/>
            <w:color w:val="0000FF"/>
            <w:kern w:val="2"/>
            <w:u w:val="single"/>
            <w:lang w:eastAsia="tr-TR"/>
            <w14:ligatures w14:val="standardContextual"/>
          </w:rPr>
          <w:t>www.spk.gov.tr</w:t>
        </w:r>
      </w:hyperlink>
      <w:r w:rsidRPr="008D14F3">
        <w:rPr>
          <w:rFonts w:eastAsia="Times New Roman" w:cs="Calibri"/>
          <w:color w:val="262626" w:themeColor="text1" w:themeTint="D9"/>
          <w:kern w:val="2"/>
          <w:lang w:eastAsia="tr-TR"/>
          <w14:ligatures w14:val="standardContextual"/>
        </w:rPr>
        <w:t xml:space="preserve">  veya </w:t>
      </w:r>
      <w:hyperlink r:id="rId9" w:history="1">
        <w:r w:rsidRPr="008D14F3">
          <w:rPr>
            <w:rFonts w:eastAsia="Times New Roman" w:cs="Calibri"/>
            <w:color w:val="0000FF"/>
            <w:kern w:val="2"/>
            <w:u w:val="single"/>
            <w:lang w:eastAsia="tr-TR"/>
            <w14:ligatures w14:val="standardContextual"/>
          </w:rPr>
          <w:t>www.tspakb.org.tr</w:t>
        </w:r>
      </w:hyperlink>
      <w:r w:rsidRPr="008D14F3">
        <w:rPr>
          <w:rFonts w:eastAsia="Times New Roman" w:cs="Calibri"/>
          <w:color w:val="262626" w:themeColor="text1" w:themeTint="D9"/>
          <w:kern w:val="2"/>
          <w:lang w:eastAsia="tr-TR"/>
          <w14:ligatures w14:val="standardContextual"/>
        </w:rPr>
        <w:t xml:space="preserve"> web sitelerinden öğrenebilirsiniz.</w:t>
      </w:r>
    </w:p>
    <w:p w14:paraId="7C8F0FEA" w14:textId="77777777" w:rsidR="008D14F3" w:rsidRPr="008D14F3" w:rsidRDefault="008D14F3" w:rsidP="008D14F3">
      <w:pPr>
        <w:shd w:val="clear" w:color="auto" w:fill="FFFFFF"/>
        <w:spacing w:before="120" w:after="120" w:line="259" w:lineRule="auto"/>
        <w:rPr>
          <w:rFonts w:eastAsiaTheme="minorHAnsi" w:cs="Calibri"/>
          <w:b/>
          <w:caps/>
          <w:color w:val="262626" w:themeColor="text1" w:themeTint="D9"/>
          <w:kern w:val="2"/>
          <w:u w:val="single"/>
          <w14:ligatures w14:val="standardContextual"/>
        </w:rPr>
      </w:pPr>
      <w:r w:rsidRPr="008D14F3">
        <w:rPr>
          <w:rFonts w:eastAsiaTheme="minorHAnsi" w:cs="Calibri"/>
          <w:b/>
          <w:caps/>
          <w:color w:val="262626" w:themeColor="text1" w:themeTint="D9"/>
          <w:kern w:val="2"/>
          <w:u w:val="single"/>
          <w14:ligatures w14:val="standardContextual"/>
        </w:rPr>
        <w:t>Risk Bildirimi</w:t>
      </w:r>
    </w:p>
    <w:p w14:paraId="17628FFA" w14:textId="77777777" w:rsidR="008D14F3" w:rsidRPr="008D14F3" w:rsidRDefault="008D14F3" w:rsidP="008D14F3">
      <w:pPr>
        <w:shd w:val="clear" w:color="auto" w:fill="FFFFFF"/>
        <w:spacing w:before="120" w:after="120" w:line="259" w:lineRule="auto"/>
        <w:jc w:val="both"/>
        <w:rPr>
          <w:rFonts w:eastAsia="Times New Roman" w:cs="Calibri"/>
          <w:color w:val="262626" w:themeColor="text1" w:themeTint="D9"/>
          <w:kern w:val="2"/>
          <w:lang w:eastAsia="tr-TR"/>
          <w14:ligatures w14:val="standardContextual"/>
        </w:rPr>
      </w:pPr>
      <w:r w:rsidRPr="008D14F3">
        <w:rPr>
          <w:rFonts w:eastAsia="Times New Roman" w:cs="Calibri"/>
          <w:color w:val="262626" w:themeColor="text1" w:themeTint="D9"/>
          <w:kern w:val="2"/>
          <w:lang w:eastAsia="tr-TR"/>
          <w14:ligatures w14:val="standardContextual"/>
        </w:rPr>
        <w:t xml:space="preserve">İşlem yapacağınız Yatırım Kuruluşu ile imzalanacak "Çerçeve </w:t>
      </w:r>
      <w:proofErr w:type="spellStart"/>
      <w:r w:rsidRPr="008D14F3">
        <w:rPr>
          <w:rFonts w:eastAsia="Times New Roman" w:cs="Calibri"/>
          <w:color w:val="262626" w:themeColor="text1" w:themeTint="D9"/>
          <w:kern w:val="2"/>
          <w:lang w:eastAsia="tr-TR"/>
          <w14:ligatures w14:val="standardContextual"/>
        </w:rPr>
        <w:t>Sözleşme"de</w:t>
      </w:r>
      <w:proofErr w:type="spellEnd"/>
      <w:r w:rsidRPr="008D14F3">
        <w:rPr>
          <w:rFonts w:eastAsia="Times New Roman" w:cs="Calibri"/>
          <w:color w:val="262626" w:themeColor="text1" w:themeTint="D9"/>
          <w:kern w:val="2"/>
          <w:lang w:eastAsia="tr-TR"/>
          <w14:ligatures w14:val="standardContextual"/>
        </w:rPr>
        <w:t xml:space="preserve"> belirtilen hususlara ek olarak, aşağıdaki hususları anlamanız çok önemlidir.</w:t>
      </w:r>
    </w:p>
    <w:p w14:paraId="3B3A28FC" w14:textId="77777777" w:rsidR="008D14F3" w:rsidRPr="008D14F3" w:rsidRDefault="008D14F3" w:rsidP="008D14F3">
      <w:pPr>
        <w:numPr>
          <w:ilvl w:val="0"/>
          <w:numId w:val="19"/>
        </w:numPr>
        <w:shd w:val="clear" w:color="auto" w:fill="FFFFFF"/>
        <w:spacing w:before="120" w:after="120" w:line="259" w:lineRule="auto"/>
        <w:ind w:left="425" w:hanging="425"/>
        <w:jc w:val="both"/>
        <w:rPr>
          <w:rFonts w:eastAsia="Times New Roman" w:cs="Calibri"/>
          <w:color w:val="262626" w:themeColor="text1" w:themeTint="D9"/>
          <w:kern w:val="2"/>
          <w:lang w:eastAsia="tr-TR"/>
          <w14:ligatures w14:val="standardContextual"/>
        </w:rPr>
      </w:pPr>
      <w:r w:rsidRPr="008D14F3">
        <w:rPr>
          <w:rFonts w:eastAsia="Times New Roman" w:cs="Calibri"/>
          <w:color w:val="262626" w:themeColor="text1" w:themeTint="D9"/>
          <w:kern w:val="2"/>
          <w:lang w:eastAsia="tr-TR"/>
          <w14:ligatures w14:val="standardContextual"/>
        </w:rPr>
        <w:t>Yatırım Kuruluşu nezdinde açtıracağınız hesap ve bu hesap üzerinden gerçekleştirilecek tüm işlemler için Sermaye Piyasası Kurulu, borsalar ve takas merkezleri tarafından çıkartılan ilgili her türlü mevzuat ve benzeri tüm idari düzenleme hükümleri uygulanacaktır.</w:t>
      </w:r>
    </w:p>
    <w:p w14:paraId="41432A1B" w14:textId="77777777" w:rsidR="008D14F3" w:rsidRPr="008D14F3" w:rsidRDefault="008D14F3" w:rsidP="008D14F3">
      <w:pPr>
        <w:numPr>
          <w:ilvl w:val="0"/>
          <w:numId w:val="19"/>
        </w:numPr>
        <w:shd w:val="clear" w:color="auto" w:fill="FFFFFF"/>
        <w:spacing w:before="120" w:after="120" w:line="259" w:lineRule="auto"/>
        <w:ind w:left="425" w:hanging="425"/>
        <w:jc w:val="both"/>
        <w:rPr>
          <w:rFonts w:eastAsia="Times New Roman" w:cs="Calibri"/>
          <w:color w:val="262626" w:themeColor="text1" w:themeTint="D9"/>
          <w:kern w:val="2"/>
          <w:lang w:eastAsia="tr-TR"/>
          <w14:ligatures w14:val="standardContextual"/>
        </w:rPr>
      </w:pPr>
      <w:r w:rsidRPr="008D14F3">
        <w:rPr>
          <w:rFonts w:eastAsia="Times New Roman" w:cs="Calibri"/>
          <w:color w:val="262626" w:themeColor="text1" w:themeTint="D9"/>
          <w:kern w:val="2"/>
          <w:lang w:eastAsia="tr-TR"/>
          <w14:ligatures w14:val="standardContextual"/>
        </w:rPr>
        <w:t>Sermaye piyasası işlemleri çeşitli oranlarda risklere tabidir. Piyasada oluşacak fiyat hareketleri sonucunda Yatırım Kuruluşu’na yatırdığınız paranın tümünü kaybedebileceğiniz gibi, kayıplarınız yapacağınız işlemin türüne göre yatırdığınız para tutarını dahi aşabilecektir.</w:t>
      </w:r>
    </w:p>
    <w:p w14:paraId="48B3307D" w14:textId="77777777" w:rsidR="008D14F3" w:rsidRPr="008D14F3" w:rsidRDefault="008D14F3" w:rsidP="008D14F3">
      <w:pPr>
        <w:numPr>
          <w:ilvl w:val="0"/>
          <w:numId w:val="19"/>
        </w:numPr>
        <w:shd w:val="clear" w:color="auto" w:fill="FFFFFF"/>
        <w:spacing w:before="120" w:after="120" w:line="259" w:lineRule="auto"/>
        <w:ind w:left="425" w:hanging="425"/>
        <w:jc w:val="both"/>
        <w:rPr>
          <w:rFonts w:eastAsia="Times New Roman" w:cs="Calibri"/>
          <w:color w:val="262626" w:themeColor="text1" w:themeTint="D9"/>
          <w:kern w:val="2"/>
          <w:lang w:eastAsia="tr-TR"/>
          <w14:ligatures w14:val="standardContextual"/>
        </w:rPr>
      </w:pPr>
      <w:r w:rsidRPr="008D14F3">
        <w:rPr>
          <w:rFonts w:eastAsia="Times New Roman" w:cs="Calibri"/>
          <w:color w:val="262626" w:themeColor="text1" w:themeTint="D9"/>
          <w:kern w:val="2"/>
          <w:lang w:eastAsia="tr-TR"/>
          <w14:ligatures w14:val="standardContextual"/>
        </w:rPr>
        <w:t>Kredili işlem veya açığa satış gibi işlemlerde kaldıraç etkisi nedeniyle, düşük özkaynakla işlem yapmanın piyasada lehe çalışabileceği gibi aleyhe de çalışabileceği ve bu anlamda kaldıraç etkisinin tarafınıza yüksek kazançlar sağlayabileceği gibi zararlara da yol açabileceği ihtimali göz önünde bulundurulmalıdır.</w:t>
      </w:r>
    </w:p>
    <w:p w14:paraId="1D580DB8" w14:textId="77777777" w:rsidR="008D14F3" w:rsidRPr="008D14F3" w:rsidRDefault="008D14F3" w:rsidP="008D14F3">
      <w:pPr>
        <w:numPr>
          <w:ilvl w:val="0"/>
          <w:numId w:val="19"/>
        </w:numPr>
        <w:shd w:val="clear" w:color="auto" w:fill="FFFFFF"/>
        <w:spacing w:before="120" w:after="120" w:line="259" w:lineRule="auto"/>
        <w:ind w:left="425" w:hanging="425"/>
        <w:jc w:val="both"/>
        <w:rPr>
          <w:rFonts w:eastAsia="Times New Roman" w:cs="Calibri"/>
          <w:color w:val="262626" w:themeColor="text1" w:themeTint="D9"/>
          <w:kern w:val="2"/>
          <w:lang w:eastAsia="tr-TR"/>
          <w14:ligatures w14:val="standardContextual"/>
        </w:rPr>
      </w:pPr>
      <w:r w:rsidRPr="008D14F3">
        <w:rPr>
          <w:rFonts w:eastAsia="Times New Roman" w:cs="Calibri"/>
          <w:color w:val="262626" w:themeColor="text1" w:themeTint="D9"/>
          <w:kern w:val="2"/>
          <w:lang w:eastAsia="tr-TR"/>
          <w14:ligatures w14:val="standardContextual"/>
        </w:rPr>
        <w:t>Yatırım Kuruluşunun piyasalarda yapacağınız işlemlere ilişkin tarafınıza aktaracağı bilgiler ve yapacağı tavsiyelerin eksik ve doğrulanmaya muhtaç olabileceği tarafınızca dikkate alınmalıdır.</w:t>
      </w:r>
    </w:p>
    <w:p w14:paraId="56130B4F" w14:textId="77777777" w:rsidR="008D14F3" w:rsidRPr="008D14F3" w:rsidRDefault="008D14F3" w:rsidP="008D14F3">
      <w:pPr>
        <w:numPr>
          <w:ilvl w:val="0"/>
          <w:numId w:val="19"/>
        </w:numPr>
        <w:shd w:val="clear" w:color="auto" w:fill="FFFFFF"/>
        <w:spacing w:before="120" w:after="120" w:line="259" w:lineRule="auto"/>
        <w:ind w:left="425" w:hanging="425"/>
        <w:jc w:val="both"/>
        <w:rPr>
          <w:rFonts w:eastAsia="Times New Roman" w:cs="Calibri"/>
          <w:color w:val="262626" w:themeColor="text1" w:themeTint="D9"/>
          <w:kern w:val="2"/>
          <w:lang w:eastAsia="tr-TR"/>
          <w14:ligatures w14:val="standardContextual"/>
        </w:rPr>
      </w:pPr>
      <w:r w:rsidRPr="008D14F3">
        <w:rPr>
          <w:rFonts w:eastAsia="Times New Roman" w:cs="Calibri"/>
          <w:color w:val="262626" w:themeColor="text1" w:themeTint="D9"/>
          <w:kern w:val="2"/>
          <w:lang w:eastAsia="tr-TR"/>
          <w14:ligatures w14:val="standardContextual"/>
        </w:rPr>
        <w:t>Sermaye piyasası araçlarının alım satımına ilişkin olarak Yatırım Kuruluşu’nun yetkili personelince yapılacak teknik ve temel analizin kişiden kişiye farklılık arz edebileceği ve bu analizlerde yapılan öngörülerin kesin olarak gerçekleşmeme olasılığının bulunduğu dikkate alınmalıdır.</w:t>
      </w:r>
    </w:p>
    <w:p w14:paraId="33A5A9C5" w14:textId="77777777" w:rsidR="008D14F3" w:rsidRPr="008D14F3" w:rsidRDefault="008D14F3" w:rsidP="008D14F3">
      <w:pPr>
        <w:numPr>
          <w:ilvl w:val="0"/>
          <w:numId w:val="19"/>
        </w:numPr>
        <w:shd w:val="clear" w:color="auto" w:fill="FFFFFF"/>
        <w:spacing w:before="120" w:after="120" w:line="259" w:lineRule="auto"/>
        <w:ind w:left="425" w:hanging="425"/>
        <w:jc w:val="both"/>
        <w:rPr>
          <w:rFonts w:eastAsia="Times New Roman" w:cs="Calibri"/>
          <w:color w:val="262626" w:themeColor="text1" w:themeTint="D9"/>
          <w:kern w:val="2"/>
          <w:lang w:eastAsia="tr-TR"/>
          <w14:ligatures w14:val="standardContextual"/>
        </w:rPr>
      </w:pPr>
      <w:r w:rsidRPr="008D14F3">
        <w:rPr>
          <w:rFonts w:eastAsia="Times New Roman" w:cs="Calibri"/>
          <w:color w:val="262626" w:themeColor="text1" w:themeTint="D9"/>
          <w:kern w:val="2"/>
          <w:lang w:eastAsia="tr-TR"/>
          <w14:ligatures w14:val="standardContextual"/>
        </w:rPr>
        <w:t>Yabancı para cinsinden yapılan işlemlerde, yukarıda sayılan risklere ek olarak kur riskinin olduğunu, kur dalgalanmaları nedeniyle Türk Lirası bazında değer kaybı olabileceği, devletlerin yabancı sermaye ve döviz hareketlerini kısıtlayabileceği, ek ve/veya yeni vergiler getirebileceği, alım satım işlemlerinin zamanında gerçekleşmeyebileceği bilinmelidir.</w:t>
      </w:r>
    </w:p>
    <w:p w14:paraId="756EBCC3" w14:textId="77777777" w:rsidR="008D14F3" w:rsidRPr="008D14F3" w:rsidRDefault="008D14F3" w:rsidP="008D14F3">
      <w:pPr>
        <w:numPr>
          <w:ilvl w:val="0"/>
          <w:numId w:val="19"/>
        </w:numPr>
        <w:shd w:val="clear" w:color="auto" w:fill="FFFFFF"/>
        <w:spacing w:before="120" w:after="120" w:line="259" w:lineRule="auto"/>
        <w:ind w:left="425" w:hanging="425"/>
        <w:jc w:val="both"/>
        <w:rPr>
          <w:rFonts w:eastAsia="Times New Roman" w:cs="Calibri"/>
          <w:color w:val="262626" w:themeColor="text1" w:themeTint="D9"/>
          <w:kern w:val="2"/>
          <w:lang w:eastAsia="tr-TR"/>
          <w14:ligatures w14:val="standardContextual"/>
        </w:rPr>
      </w:pPr>
      <w:r w:rsidRPr="008D14F3">
        <w:rPr>
          <w:rFonts w:eastAsia="Times New Roman" w:cs="Calibri"/>
          <w:color w:val="262626" w:themeColor="text1" w:themeTint="D9"/>
          <w:kern w:val="2"/>
          <w:lang w:eastAsia="tr-TR"/>
          <w14:ligatures w14:val="standardContextual"/>
        </w:rPr>
        <w:t>İşlemlerinize başlamadan önce, Yatırım Kuruluşu’nuzdan yükümlü olacağınız bütün komisyon ve diğer muamele ücretleri konusunda teyit almalısınız. Eğer ücretler parasal olarak ifade edilmemişse, ücretlerin parasal olarak size nasıl yansıyacağı ile ilgili anlaşılır örnekler içeren yazılı bir açıklama talep etmelisiniz.</w:t>
      </w:r>
    </w:p>
    <w:p w14:paraId="344C68A5" w14:textId="77777777" w:rsidR="008D14F3" w:rsidRPr="008D14F3" w:rsidRDefault="008D14F3" w:rsidP="008D14F3">
      <w:pPr>
        <w:shd w:val="clear" w:color="auto" w:fill="FFFFFF"/>
        <w:spacing w:before="120" w:after="120" w:line="240" w:lineRule="auto"/>
        <w:jc w:val="both"/>
        <w:rPr>
          <w:rFonts w:eastAsia="Times New Roman" w:cs="Calibri"/>
          <w:color w:val="262626" w:themeColor="text1" w:themeTint="D9"/>
          <w:kern w:val="2"/>
          <w:lang w:eastAsia="tr-TR"/>
          <w14:ligatures w14:val="standardContextual"/>
        </w:rPr>
      </w:pPr>
      <w:r w:rsidRPr="008D14F3">
        <w:rPr>
          <w:rFonts w:eastAsia="Times New Roman" w:cs="Calibri"/>
          <w:color w:val="262626" w:themeColor="text1" w:themeTint="D9"/>
          <w:kern w:val="2"/>
          <w:lang w:eastAsia="tr-TR"/>
          <w14:ligatures w14:val="standardContextual"/>
        </w:rPr>
        <w:t xml:space="preserve">İşbu sermaye piyasası işlemleri risk bildirim formu, müşteriyi genel olarak mevcut riskler hakkında bilgilendirmeyi amaçlamakta olup, sermaye piyasası araçlarının alım satımından ve uygulamadan </w:t>
      </w:r>
      <w:r w:rsidRPr="008D14F3">
        <w:rPr>
          <w:rFonts w:eastAsia="Times New Roman" w:cs="Calibri"/>
          <w:color w:val="262626" w:themeColor="text1" w:themeTint="D9"/>
          <w:kern w:val="2"/>
          <w:lang w:eastAsia="tr-TR"/>
          <w14:ligatures w14:val="standardContextual"/>
        </w:rPr>
        <w:lastRenderedPageBreak/>
        <w:t>kaynaklanabilecek tüm riskleri kapsamayabilir. Dolayısıyla tasarruflarınızı bu tip yatırımlara yönlendirmeden önce dikkatli bir şekilde araştırma yapmalısınız.</w:t>
      </w:r>
    </w:p>
    <w:p w14:paraId="725759AE" w14:textId="77777777" w:rsidR="008D14F3" w:rsidRPr="008D14F3" w:rsidRDefault="008D14F3" w:rsidP="008D14F3">
      <w:pPr>
        <w:shd w:val="clear" w:color="auto" w:fill="FFFFFF"/>
        <w:spacing w:before="120" w:after="120" w:line="240" w:lineRule="auto"/>
        <w:jc w:val="both"/>
        <w:rPr>
          <w:rFonts w:eastAsia="Times New Roman" w:cs="Calibri"/>
          <w:b/>
          <w:bCs/>
          <w:color w:val="262626" w:themeColor="text1" w:themeTint="D9"/>
          <w:kern w:val="2"/>
          <w:lang w:eastAsia="tr-TR"/>
          <w14:ligatures w14:val="standardContextual"/>
        </w:rPr>
      </w:pPr>
    </w:p>
    <w:p w14:paraId="1C185CF4" w14:textId="77777777" w:rsidR="008D14F3" w:rsidRPr="008D14F3" w:rsidRDefault="008D14F3" w:rsidP="008D14F3">
      <w:pPr>
        <w:shd w:val="clear" w:color="auto" w:fill="FFFFFF"/>
        <w:spacing w:before="120" w:after="120" w:line="240" w:lineRule="auto"/>
        <w:jc w:val="center"/>
        <w:rPr>
          <w:rFonts w:eastAsia="Times New Roman" w:cs="Calibri"/>
          <w:b/>
          <w:bCs/>
          <w:color w:val="262626" w:themeColor="text1" w:themeTint="D9"/>
          <w:kern w:val="2"/>
          <w:lang w:eastAsia="tr-TR"/>
          <w14:ligatures w14:val="standardContextual"/>
        </w:rPr>
      </w:pPr>
      <w:r w:rsidRPr="008D14F3">
        <w:rPr>
          <w:rFonts w:eastAsia="Times New Roman" w:cs="Calibri"/>
          <w:b/>
          <w:bCs/>
          <w:color w:val="262626" w:themeColor="text1" w:themeTint="D9"/>
          <w:kern w:val="2"/>
          <w:lang w:eastAsia="tr-TR"/>
          <w14:ligatures w14:val="standardContextual"/>
        </w:rPr>
        <w:t>SERMAYE PİYASASI ARAÇLARINA İLİŞKİN RİSK BİLDİRİM FORMLARI</w:t>
      </w:r>
    </w:p>
    <w:p w14:paraId="6DB2B01D" w14:textId="77777777" w:rsidR="008D14F3" w:rsidRPr="008D14F3" w:rsidRDefault="008D14F3" w:rsidP="008D14F3">
      <w:pPr>
        <w:jc w:val="both"/>
        <w:rPr>
          <w:rFonts w:eastAsiaTheme="minorHAnsi" w:cs="Calibri"/>
          <w:b/>
          <w:kern w:val="2"/>
          <w:u w:val="single"/>
          <w:lang w:eastAsia="tr-TR"/>
          <w14:ligatures w14:val="standardContextual"/>
        </w:rPr>
      </w:pPr>
      <w:r w:rsidRPr="008D14F3">
        <w:rPr>
          <w:rFonts w:eastAsiaTheme="minorHAnsi" w:cs="Calibri"/>
          <w:b/>
          <w:kern w:val="2"/>
          <w:u w:val="single"/>
          <w:lang w:eastAsia="tr-TR"/>
          <w14:ligatures w14:val="standardContextual"/>
        </w:rPr>
        <w:t>Önemli Açıklama</w:t>
      </w:r>
    </w:p>
    <w:p w14:paraId="7B1B4091" w14:textId="77777777" w:rsidR="008D14F3" w:rsidRPr="008D14F3" w:rsidRDefault="008D14F3" w:rsidP="008D14F3">
      <w:pPr>
        <w:jc w:val="both"/>
        <w:rPr>
          <w:rFonts w:eastAsiaTheme="minorHAnsi" w:cs="Calibri"/>
          <w:kern w:val="2"/>
          <w:lang w:eastAsia="tr-TR"/>
          <w14:ligatures w14:val="standardContextual"/>
        </w:rPr>
      </w:pPr>
      <w:r w:rsidRPr="008D14F3">
        <w:rPr>
          <w:rFonts w:eastAsiaTheme="minorHAnsi" w:cs="Calibri"/>
          <w:kern w:val="2"/>
          <w:lang w:eastAsia="tr-TR"/>
          <w14:ligatures w14:val="standardContextual"/>
        </w:rPr>
        <w:t xml:space="preserve">Sermaye piyasalarında yapacağınız işlemler sonucunda kar elde edebileceğiniz gibi zarar riskiniz de bulunmaktadır. Bu nedenle, işlem yapmaya karar vermeden önce, piyasada karşılaşabileceğiniz riskleri anlamanız, mali durumunuzu ve kısıtlarınızı dikkate alarak karar vermeniz gerekmektedir. Bu amaçla, III-39.1 sayılı "Yatırım Kuruluşlarının Kuruluş ve Faaliyet Esasları Hakkında </w:t>
      </w:r>
      <w:proofErr w:type="spellStart"/>
      <w:r w:rsidRPr="008D14F3">
        <w:rPr>
          <w:rFonts w:eastAsiaTheme="minorHAnsi" w:cs="Calibri"/>
          <w:kern w:val="2"/>
          <w:lang w:eastAsia="tr-TR"/>
          <w14:ligatures w14:val="standardContextual"/>
        </w:rPr>
        <w:t>Tebliğ"in</w:t>
      </w:r>
      <w:proofErr w:type="spellEnd"/>
      <w:r w:rsidRPr="008D14F3">
        <w:rPr>
          <w:rFonts w:eastAsiaTheme="minorHAnsi" w:cs="Calibri"/>
          <w:kern w:val="2"/>
          <w:lang w:eastAsia="tr-TR"/>
          <w14:ligatures w14:val="standardContextual"/>
        </w:rPr>
        <w:t xml:space="preserve"> 25 inci maddesinde öngörüldüğü üzere "Yatırım Hizmet ve Faaliyetleri Genel Risk Bildirim </w:t>
      </w:r>
      <w:proofErr w:type="spellStart"/>
      <w:r w:rsidRPr="008D14F3">
        <w:rPr>
          <w:rFonts w:eastAsiaTheme="minorHAnsi" w:cs="Calibri"/>
          <w:kern w:val="2"/>
          <w:lang w:eastAsia="tr-TR"/>
          <w14:ligatures w14:val="standardContextual"/>
        </w:rPr>
        <w:t>Formu"nda</w:t>
      </w:r>
      <w:proofErr w:type="spellEnd"/>
      <w:r w:rsidRPr="008D14F3">
        <w:rPr>
          <w:rFonts w:eastAsiaTheme="minorHAnsi" w:cs="Calibri"/>
          <w:kern w:val="2"/>
          <w:lang w:eastAsia="tr-TR"/>
          <w14:ligatures w14:val="standardContextual"/>
        </w:rPr>
        <w:t xml:space="preserve"> yer alan hususlara ek olarak </w:t>
      </w:r>
      <w:r w:rsidRPr="008D14F3">
        <w:rPr>
          <w:rFonts w:eastAsiaTheme="minorHAnsi" w:cs="Calibri"/>
          <w:bCs/>
          <w:kern w:val="2"/>
          <w:lang w:eastAsia="tr-TR"/>
          <w14:ligatures w14:val="standardContextual"/>
        </w:rPr>
        <w:t>işleme konu sermaye piyasası araçlarının risklerine ilişkin aşağıdaki hususları</w:t>
      </w:r>
      <w:r w:rsidRPr="008D14F3">
        <w:rPr>
          <w:rFonts w:eastAsiaTheme="minorHAnsi" w:cs="Calibri"/>
          <w:kern w:val="2"/>
          <w:lang w:eastAsia="tr-TR"/>
          <w14:ligatures w14:val="standardContextual"/>
        </w:rPr>
        <w:t xml:space="preserve"> da anlamanız ve yatırım kararlarınızı bu çerçevede vermeniz gerekmektedir.</w:t>
      </w:r>
    </w:p>
    <w:p w14:paraId="5F88FA94" w14:textId="77777777" w:rsidR="008D14F3" w:rsidRPr="008D14F3" w:rsidRDefault="008D14F3" w:rsidP="008D14F3">
      <w:pPr>
        <w:jc w:val="both"/>
        <w:rPr>
          <w:rFonts w:eastAsiaTheme="minorHAnsi" w:cs="Calibri"/>
          <w:b/>
          <w:kern w:val="2"/>
          <w:u w:val="single"/>
          <w:lang w:eastAsia="tr-TR"/>
          <w14:ligatures w14:val="standardContextual"/>
        </w:rPr>
      </w:pPr>
      <w:r w:rsidRPr="008D14F3">
        <w:rPr>
          <w:rFonts w:eastAsiaTheme="minorHAnsi" w:cs="Calibri"/>
          <w:b/>
          <w:kern w:val="2"/>
          <w:u w:val="single"/>
          <w:lang w:eastAsia="tr-TR"/>
          <w14:ligatures w14:val="standardContextual"/>
        </w:rPr>
        <w:t>Uyarı</w:t>
      </w:r>
    </w:p>
    <w:p w14:paraId="2501DC01" w14:textId="77777777" w:rsidR="008D14F3" w:rsidRPr="008D14F3" w:rsidRDefault="008D14F3" w:rsidP="008D14F3">
      <w:pPr>
        <w:jc w:val="both"/>
        <w:rPr>
          <w:rFonts w:eastAsiaTheme="minorHAnsi" w:cs="Calibri"/>
          <w:kern w:val="2"/>
          <w:lang w:eastAsia="tr-TR"/>
          <w14:ligatures w14:val="standardContextual"/>
        </w:rPr>
      </w:pPr>
      <w:r w:rsidRPr="008D14F3">
        <w:rPr>
          <w:rFonts w:eastAsiaTheme="minorHAnsi" w:cs="Calibri"/>
          <w:kern w:val="2"/>
          <w:lang w:eastAsia="tr-TR"/>
          <w14:ligatures w14:val="standardContextual"/>
        </w:rPr>
        <w:t>İşlem yapmaya başlamadan önce, çalışmayı düşündüğünüz Yatırım Kuruluşunun, işleme konu sermaye piyasası araçlarının alım satımına aracılık işlemlerine ilişkin yetkisi olup olmadığını kontrol ediniz. Sermaye piyasası işlemleri konusunda yetkili olan banka ve sermaye piyasası aracı kurumlarını www.spk.gov.tr veya www.tspakb.org.tr web sitelerinden öğrenebilirsiniz.</w:t>
      </w:r>
    </w:p>
    <w:p w14:paraId="5361DCD7" w14:textId="77777777" w:rsidR="008D14F3" w:rsidRPr="008D14F3" w:rsidRDefault="008D14F3" w:rsidP="008D14F3">
      <w:pPr>
        <w:jc w:val="both"/>
        <w:rPr>
          <w:rFonts w:eastAsiaTheme="minorHAnsi" w:cs="Calibri"/>
          <w:b/>
          <w:kern w:val="2"/>
          <w:u w:val="single"/>
          <w:lang w:eastAsia="tr-TR"/>
          <w14:ligatures w14:val="standardContextual"/>
        </w:rPr>
      </w:pPr>
      <w:r w:rsidRPr="008D14F3">
        <w:rPr>
          <w:rFonts w:eastAsiaTheme="minorHAnsi" w:cs="Calibri"/>
          <w:b/>
          <w:kern w:val="2"/>
          <w:u w:val="single"/>
          <w:lang w:eastAsia="tr-TR"/>
          <w14:ligatures w14:val="standardContextual"/>
        </w:rPr>
        <w:t>Komisyon, Ücret ve Vergi Tutar veya Oranları</w:t>
      </w:r>
    </w:p>
    <w:p w14:paraId="6C621312" w14:textId="77777777" w:rsidR="008D14F3" w:rsidRPr="008D14F3" w:rsidRDefault="008D14F3" w:rsidP="008D14F3">
      <w:pPr>
        <w:jc w:val="both"/>
        <w:rPr>
          <w:rFonts w:eastAsiaTheme="minorHAnsi" w:cs="Calibri"/>
          <w:kern w:val="2"/>
          <w:lang w:eastAsia="tr-TR"/>
          <w14:ligatures w14:val="standardContextual"/>
        </w:rPr>
      </w:pPr>
      <w:r w:rsidRPr="008D14F3">
        <w:rPr>
          <w:rFonts w:eastAsiaTheme="minorHAnsi" w:cs="Calibri"/>
          <w:kern w:val="2"/>
          <w:lang w:eastAsia="tr-TR"/>
          <w14:ligatures w14:val="standardContextual"/>
        </w:rPr>
        <w:t xml:space="preserve">Sermaye piyasalarında </w:t>
      </w:r>
      <w:r w:rsidRPr="008D14F3">
        <w:rPr>
          <w:rFonts w:eastAsiaTheme="minorHAnsi" w:cs="Calibri"/>
          <w:bCs/>
          <w:kern w:val="2"/>
          <w:lang w:eastAsia="tr-TR"/>
          <w14:ligatures w14:val="standardContextual"/>
        </w:rPr>
        <w:t xml:space="preserve">gerçekleştirilen işlemlerin, komisyon, ücret ve masraflara ve yürürlükteki mevzuat çerçevesinde vergiye tabi tutulacağının bilincinde olmalısınız. İşlemlere ilişkin komisyon, ücret ve masraflar, Yatırım Hizmet ve Faaliyetleri Çerçeve Sözleşmesi’nin ekinde ve güncel hali </w:t>
      </w:r>
      <w:hyperlink r:id="rId10" w:history="1">
        <w:r w:rsidRPr="008D14F3">
          <w:rPr>
            <w:rFonts w:eastAsiaTheme="minorHAnsi" w:cs="Calibri"/>
            <w:bCs/>
            <w:color w:val="0000FF"/>
            <w:kern w:val="2"/>
            <w:u w:val="single"/>
            <w:lang w:eastAsia="tr-TR"/>
            <w14:ligatures w14:val="standardContextual"/>
          </w:rPr>
          <w:t>www.dinamikyatirim.com.tr</w:t>
        </w:r>
      </w:hyperlink>
      <w:r w:rsidRPr="008D14F3">
        <w:rPr>
          <w:rFonts w:eastAsiaTheme="minorHAnsi" w:cs="Calibri"/>
          <w:bCs/>
          <w:kern w:val="2"/>
          <w:lang w:eastAsia="tr-TR"/>
          <w14:ligatures w14:val="standardContextual"/>
        </w:rPr>
        <w:t xml:space="preserve"> adresinde yer alan “Komisyon ve Masraf </w:t>
      </w:r>
      <w:proofErr w:type="spellStart"/>
      <w:r w:rsidRPr="008D14F3">
        <w:rPr>
          <w:rFonts w:eastAsiaTheme="minorHAnsi" w:cs="Calibri"/>
          <w:bCs/>
          <w:kern w:val="2"/>
          <w:lang w:eastAsia="tr-TR"/>
          <w14:ligatures w14:val="standardContextual"/>
        </w:rPr>
        <w:t>Tarifesi’nde</w:t>
      </w:r>
      <w:proofErr w:type="spellEnd"/>
      <w:r w:rsidRPr="008D14F3">
        <w:rPr>
          <w:rFonts w:eastAsiaTheme="minorHAnsi" w:cs="Calibri"/>
          <w:bCs/>
          <w:kern w:val="2"/>
          <w:lang w:eastAsia="tr-TR"/>
          <w14:ligatures w14:val="standardContextual"/>
        </w:rPr>
        <w:t xml:space="preserve">” belirtilmiştir. </w:t>
      </w:r>
      <w:r w:rsidRPr="008D14F3">
        <w:rPr>
          <w:rFonts w:eastAsiaTheme="minorHAnsi" w:cs="Calibri"/>
          <w:kern w:val="2"/>
          <w:lang w:eastAsia="tr-TR"/>
          <w14:ligatures w14:val="standardContextual"/>
        </w:rPr>
        <w:t>Yatırım Kuruluşu söz konusu komisyon, ücret ve masrafların tahsilini Müşteri’nin Yatırım Kuruluşu nezdindeki hesaplarından ihbara gerek olmaksızın mahsup etmek suretiyle gerçekleştirilebilir.</w:t>
      </w:r>
    </w:p>
    <w:p w14:paraId="09829A1F" w14:textId="77777777" w:rsidR="008D14F3" w:rsidRPr="008D14F3" w:rsidRDefault="008D14F3" w:rsidP="008D14F3">
      <w:pPr>
        <w:jc w:val="both"/>
        <w:rPr>
          <w:rFonts w:eastAsiaTheme="minorHAnsi" w:cs="Calibri"/>
          <w:kern w:val="2"/>
          <w:lang w:eastAsia="tr-TR"/>
          <w14:ligatures w14:val="standardContextual"/>
        </w:rPr>
      </w:pPr>
      <w:r w:rsidRPr="008D14F3">
        <w:rPr>
          <w:rFonts w:eastAsiaTheme="minorHAnsi" w:cs="Calibri"/>
          <w:kern w:val="2"/>
          <w:lang w:eastAsia="tr-TR"/>
          <w14:ligatures w14:val="standardContextual"/>
        </w:rPr>
        <w:t xml:space="preserve">Sermaye piyasalarında </w:t>
      </w:r>
      <w:r w:rsidRPr="008D14F3">
        <w:rPr>
          <w:rFonts w:eastAsiaTheme="minorHAnsi" w:cs="Calibri"/>
          <w:bCs/>
          <w:kern w:val="2"/>
          <w:lang w:eastAsia="tr-TR"/>
          <w14:ligatures w14:val="standardContextual"/>
        </w:rPr>
        <w:t>gerçekleştirilen işlemleri nedeniyle ilgili yurt içi ve yurt dışı mevzuatta belirlenen vergi yükümlülüklerinin tamamının usulüne uygun olarak ve süresi içinde yerine getirilmesinden Müşteri sorumludur.</w:t>
      </w:r>
      <w:r w:rsidRPr="008D14F3">
        <w:rPr>
          <w:rFonts w:eastAsiaTheme="minorHAnsi" w:cs="Calibri"/>
          <w:kern w:val="2"/>
          <w:lang w:eastAsia="tr-TR"/>
          <w14:ligatures w14:val="standardContextual"/>
        </w:rPr>
        <w:t xml:space="preserve"> Menkul kıymet gelirlerinin vergilendirilmesine ilişkin detaylı bilgiye </w:t>
      </w:r>
      <w:hyperlink r:id="rId11" w:history="1">
        <w:r w:rsidRPr="008D14F3">
          <w:rPr>
            <w:rFonts w:eastAsiaTheme="minorHAnsi" w:cs="Calibri"/>
            <w:color w:val="0000FF"/>
            <w:kern w:val="2"/>
            <w:u w:val="single"/>
            <w:lang w:eastAsia="tr-TR"/>
            <w14:ligatures w14:val="standardContextual"/>
          </w:rPr>
          <w:t>www.dinamikyatirim.com.tr</w:t>
        </w:r>
      </w:hyperlink>
      <w:r w:rsidRPr="008D14F3">
        <w:rPr>
          <w:rFonts w:eastAsiaTheme="minorHAnsi" w:cs="Calibri"/>
          <w:bCs/>
          <w:kern w:val="2"/>
          <w:lang w:eastAsia="tr-TR"/>
          <w14:ligatures w14:val="standardContextual"/>
        </w:rPr>
        <w:t xml:space="preserve"> adresinden </w:t>
      </w:r>
      <w:r w:rsidRPr="008D14F3">
        <w:rPr>
          <w:rFonts w:eastAsiaTheme="minorHAnsi" w:cs="Calibri"/>
          <w:kern w:val="2"/>
          <w:lang w:eastAsia="tr-TR"/>
          <w14:ligatures w14:val="standardContextual"/>
        </w:rPr>
        <w:t>ulaşabilirsiniz.</w:t>
      </w:r>
    </w:p>
    <w:p w14:paraId="725F3F0C" w14:textId="77777777" w:rsidR="008D14F3" w:rsidRPr="008D14F3" w:rsidRDefault="008D14F3" w:rsidP="008D14F3">
      <w:pPr>
        <w:jc w:val="both"/>
        <w:rPr>
          <w:rFonts w:eastAsiaTheme="minorHAnsi" w:cs="Calibri"/>
          <w:b/>
          <w:kern w:val="2"/>
          <w:u w:val="single"/>
          <w:lang w:eastAsia="tr-TR"/>
          <w14:ligatures w14:val="standardContextual"/>
        </w:rPr>
      </w:pPr>
      <w:r w:rsidRPr="008D14F3">
        <w:rPr>
          <w:rFonts w:eastAsiaTheme="minorHAnsi" w:cs="Calibri"/>
          <w:b/>
          <w:kern w:val="2"/>
          <w:u w:val="single"/>
          <w:lang w:eastAsia="tr-TR"/>
          <w14:ligatures w14:val="standardContextual"/>
        </w:rPr>
        <w:t>Risk Takibi</w:t>
      </w:r>
    </w:p>
    <w:p w14:paraId="4B029A82" w14:textId="77777777" w:rsidR="008D14F3" w:rsidRPr="008D14F3" w:rsidRDefault="008D14F3" w:rsidP="008D14F3">
      <w:pPr>
        <w:jc w:val="both"/>
        <w:rPr>
          <w:rFonts w:eastAsiaTheme="minorHAnsi" w:cs="Calibri"/>
          <w:kern w:val="2"/>
          <w:lang w:eastAsia="tr-TR"/>
          <w14:ligatures w14:val="standardContextual"/>
        </w:rPr>
      </w:pPr>
      <w:r w:rsidRPr="008D14F3">
        <w:rPr>
          <w:rFonts w:eastAsiaTheme="minorHAnsi" w:cs="Calibri"/>
          <w:kern w:val="2"/>
          <w:lang w:eastAsia="tr-TR"/>
          <w14:ligatures w14:val="standardContextual"/>
        </w:rPr>
        <w:t xml:space="preserve">Sermaye piyasası araçlarına ilişkin risk takibi, sermaye piyasası aracı ve müşteri bazında Dinamik Yatırım Risk Politikası çerçevesinde yapılmaktadır. </w:t>
      </w:r>
    </w:p>
    <w:p w14:paraId="3DEE3D7A" w14:textId="77777777" w:rsidR="008D14F3" w:rsidRPr="008D14F3" w:rsidRDefault="008D14F3" w:rsidP="008D14F3">
      <w:pPr>
        <w:jc w:val="both"/>
        <w:rPr>
          <w:rFonts w:eastAsiaTheme="minorHAnsi" w:cs="Calibri"/>
          <w:kern w:val="2"/>
          <w:lang w:eastAsia="tr-TR"/>
          <w14:ligatures w14:val="standardContextual"/>
        </w:rPr>
      </w:pPr>
      <w:r w:rsidRPr="008D14F3">
        <w:rPr>
          <w:rFonts w:eastAsiaTheme="minorHAnsi" w:cs="Calibri"/>
          <w:kern w:val="2"/>
          <w:lang w:eastAsia="tr-TR"/>
          <w14:ligatures w14:val="standardContextual"/>
        </w:rPr>
        <w:t>Borsa İstanbul Vadeli İşlem ve Opsiyon Piyasası (VİOP)'</w:t>
      </w:r>
      <w:proofErr w:type="spellStart"/>
      <w:r w:rsidRPr="008D14F3">
        <w:rPr>
          <w:rFonts w:eastAsiaTheme="minorHAnsi" w:cs="Calibri"/>
          <w:kern w:val="2"/>
          <w:lang w:eastAsia="tr-TR"/>
          <w14:ligatures w14:val="standardContextual"/>
        </w:rPr>
        <w:t>nda</w:t>
      </w:r>
      <w:proofErr w:type="spellEnd"/>
      <w:r w:rsidRPr="008D14F3">
        <w:rPr>
          <w:rFonts w:eastAsiaTheme="minorHAnsi" w:cs="Calibri"/>
          <w:kern w:val="2"/>
          <w:lang w:eastAsia="tr-TR"/>
          <w14:ligatures w14:val="standardContextual"/>
        </w:rPr>
        <w:t xml:space="preserve"> işlem gören vadeli işlem sözleşmelerinin işlem öncesi risk yönetimi, sisteme girilen emirler ve gerçekleştirilen işlemlerden dolayı karşılaşılabilecek olası riskleri kontrol etmeye ve söz konusu riskleri izlemeye yönelik olarak işlem ve takas platformları ile entegre olarak geliştirilmiş bir risk yönetimi uygulaması olan PTRM tarafından yapılmaktadır. İşlem sonrası risk yönetimi Takasbank tarafından yapılır. Piyasada gerçekleştirilen işlemler için portföy bazında teminatlandırma yöntemi uygulanır. Portföy bazında teminat hesaplamasına esas teşkil edecek parametreler Takasbank tarafından belirlenir ve duyurulur. Risk </w:t>
      </w:r>
      <w:r w:rsidRPr="008D14F3">
        <w:rPr>
          <w:rFonts w:eastAsiaTheme="minorHAnsi" w:cs="Calibri"/>
          <w:kern w:val="2"/>
          <w:lang w:eastAsia="tr-TR"/>
          <w14:ligatures w14:val="standardContextual"/>
        </w:rPr>
        <w:lastRenderedPageBreak/>
        <w:t xml:space="preserve">yönetimi ve teminatlandırma yöntemine ilişkin olarak Takasbank Merkezi Karşı Taraf Mevzuatı hükümleri uygulanır. </w:t>
      </w:r>
    </w:p>
    <w:p w14:paraId="77B93966" w14:textId="77777777" w:rsidR="008D14F3" w:rsidRPr="008D14F3" w:rsidRDefault="008D14F3" w:rsidP="008D14F3">
      <w:pPr>
        <w:jc w:val="both"/>
        <w:rPr>
          <w:rFonts w:eastAsiaTheme="minorHAnsi" w:cs="Calibri"/>
          <w:kern w:val="2"/>
          <w:lang w:eastAsia="tr-TR"/>
          <w14:ligatures w14:val="standardContextual"/>
        </w:rPr>
      </w:pPr>
      <w:r w:rsidRPr="008D14F3">
        <w:rPr>
          <w:rFonts w:eastAsiaTheme="minorHAnsi" w:cs="Calibri"/>
          <w:kern w:val="2"/>
          <w:lang w:eastAsia="tr-TR"/>
          <w14:ligatures w14:val="standardContextual"/>
        </w:rPr>
        <w:t>Yatırım fonlarının maruz kaldığı risklerle ilgili uygun açıklamaları ve uyarıları içeren risk ve getiri profiline Kamuyu Aydınlatma Platformu internet sitesindeki Yatırımcı Bilgi Formlarından, yatırım yaptığınız fonun performansını ve getiri bilgisini fonların sürekli bilgilendirme formlarından takip edebilirsiniz.</w:t>
      </w:r>
    </w:p>
    <w:p w14:paraId="3DBA7BF0" w14:textId="77777777" w:rsidR="003D0DC9" w:rsidRPr="00776A7F" w:rsidRDefault="00000000" w:rsidP="00874CBB">
      <w:pPr>
        <w:pStyle w:val="ListeParagraf"/>
        <w:numPr>
          <w:ilvl w:val="0"/>
          <w:numId w:val="26"/>
        </w:numPr>
        <w:spacing w:before="120" w:after="120"/>
        <w:ind w:left="426" w:hanging="142"/>
        <w:contextualSpacing w:val="0"/>
        <w:rPr>
          <w:rFonts w:cs="Calibri"/>
          <w:b/>
          <w:bCs/>
        </w:rPr>
      </w:pPr>
      <w:hyperlink w:anchor="_PAY_PİYASASI_RİSK" w:history="1">
        <w:r w:rsidR="003D0DC9" w:rsidRPr="00776A7F">
          <w:rPr>
            <w:rStyle w:val="Kpr"/>
            <w:rFonts w:cs="Calibri"/>
            <w:b/>
            <w:bCs/>
          </w:rPr>
          <w:t>PAY PİYASA</w:t>
        </w:r>
        <w:r w:rsidR="003D0DC9" w:rsidRPr="00776A7F">
          <w:rPr>
            <w:rStyle w:val="Kpr"/>
            <w:rFonts w:cs="Calibri"/>
            <w:b/>
            <w:bCs/>
          </w:rPr>
          <w:t>S</w:t>
        </w:r>
        <w:r w:rsidR="003D0DC9" w:rsidRPr="00776A7F">
          <w:rPr>
            <w:rStyle w:val="Kpr"/>
            <w:rFonts w:cs="Calibri"/>
            <w:b/>
            <w:bCs/>
          </w:rPr>
          <w:t>I RİSK BİLDİRİ</w:t>
        </w:r>
        <w:r w:rsidR="003D0DC9" w:rsidRPr="00776A7F">
          <w:rPr>
            <w:rStyle w:val="Kpr"/>
            <w:rFonts w:cs="Calibri"/>
            <w:b/>
            <w:bCs/>
          </w:rPr>
          <w:t>M</w:t>
        </w:r>
        <w:r w:rsidR="003D0DC9" w:rsidRPr="00776A7F">
          <w:rPr>
            <w:rStyle w:val="Kpr"/>
            <w:rFonts w:cs="Calibri"/>
            <w:b/>
            <w:bCs/>
          </w:rPr>
          <w:t xml:space="preserve"> FORMU</w:t>
        </w:r>
      </w:hyperlink>
    </w:p>
    <w:p w14:paraId="36317457" w14:textId="77777777" w:rsidR="003D0DC9" w:rsidRPr="007620FB" w:rsidRDefault="00000000" w:rsidP="00874CBB">
      <w:pPr>
        <w:pStyle w:val="ListeParagraf"/>
        <w:numPr>
          <w:ilvl w:val="0"/>
          <w:numId w:val="26"/>
        </w:numPr>
        <w:spacing w:before="120" w:after="120"/>
        <w:ind w:left="426" w:hanging="142"/>
        <w:contextualSpacing w:val="0"/>
        <w:rPr>
          <w:rFonts w:cs="Calibri"/>
          <w:b/>
          <w:bCs/>
        </w:rPr>
      </w:pPr>
      <w:hyperlink w:anchor="_BORSA_İSTANBUL_A.Ş." w:history="1">
        <w:r w:rsidR="003D0DC9" w:rsidRPr="007620FB">
          <w:rPr>
            <w:rStyle w:val="Kpr"/>
            <w:rFonts w:cs="Calibri"/>
            <w:b/>
            <w:bCs/>
          </w:rPr>
          <w:t>BO</w:t>
        </w:r>
        <w:r w:rsidR="003D0DC9" w:rsidRPr="007620FB">
          <w:rPr>
            <w:rStyle w:val="Kpr"/>
            <w:rFonts w:cs="Calibri"/>
            <w:b/>
            <w:bCs/>
          </w:rPr>
          <w:t>R</w:t>
        </w:r>
        <w:r w:rsidR="003D0DC9" w:rsidRPr="007620FB">
          <w:rPr>
            <w:rStyle w:val="Kpr"/>
            <w:rFonts w:cs="Calibri"/>
            <w:b/>
            <w:bCs/>
          </w:rPr>
          <w:t>SA İSTANBUL A.Ş. (BIST) ALT PAZAR, YAKIN İZLEME PAZARI (YİP) VE PİYASA ÖNCESİ İŞLEM PLATFORMUNDA (PÖİP) İŞLEM GÖREN PAYLARA İLİŞKİN YATIRIMCI BİLGİLENDİRMESİ</w:t>
        </w:r>
      </w:hyperlink>
    </w:p>
    <w:p w14:paraId="2248F264" w14:textId="77777777" w:rsidR="003D0DC9" w:rsidRPr="00BC4205" w:rsidRDefault="00000000" w:rsidP="00874CBB">
      <w:pPr>
        <w:pStyle w:val="ListeParagraf"/>
        <w:numPr>
          <w:ilvl w:val="2"/>
          <w:numId w:val="18"/>
        </w:numPr>
        <w:spacing w:before="120" w:after="120"/>
        <w:ind w:left="1560" w:hanging="436"/>
        <w:contextualSpacing w:val="0"/>
        <w:rPr>
          <w:rFonts w:cs="Calibri"/>
          <w:b/>
          <w:bCs/>
        </w:rPr>
      </w:pPr>
      <w:hyperlink w:anchor="_BORSA_İSTANBUL_A.Ş._1" w:history="1">
        <w:r w:rsidR="003D0DC9" w:rsidRPr="00BC4205">
          <w:rPr>
            <w:rStyle w:val="Kpr"/>
            <w:rFonts w:cs="Calibri"/>
            <w:b/>
            <w:bCs/>
          </w:rPr>
          <w:t>BO</w:t>
        </w:r>
        <w:r w:rsidR="003D0DC9" w:rsidRPr="00BC4205">
          <w:rPr>
            <w:rStyle w:val="Kpr"/>
            <w:rFonts w:cs="Calibri"/>
            <w:b/>
            <w:bCs/>
          </w:rPr>
          <w:t>R</w:t>
        </w:r>
        <w:r w:rsidR="003D0DC9" w:rsidRPr="00BC4205">
          <w:rPr>
            <w:rStyle w:val="Kpr"/>
            <w:rFonts w:cs="Calibri"/>
            <w:b/>
            <w:bCs/>
          </w:rPr>
          <w:t>SA İSTANBUL A.Ş. (BIST) ALT PAZAR RİSK BİLDİRİM FORMU</w:t>
        </w:r>
      </w:hyperlink>
    </w:p>
    <w:p w14:paraId="6387B66D" w14:textId="77777777" w:rsidR="003D0DC9" w:rsidRPr="00BC4205" w:rsidRDefault="00000000" w:rsidP="00874CBB">
      <w:pPr>
        <w:pStyle w:val="ListeParagraf"/>
        <w:numPr>
          <w:ilvl w:val="2"/>
          <w:numId w:val="18"/>
        </w:numPr>
        <w:spacing w:before="120" w:after="120"/>
        <w:ind w:left="1560" w:hanging="436"/>
        <w:contextualSpacing w:val="0"/>
        <w:rPr>
          <w:rFonts w:cs="Calibri"/>
        </w:rPr>
      </w:pPr>
      <w:hyperlink w:anchor="_YAKIN_İZLEME_PAZARI" w:history="1">
        <w:r w:rsidR="003D0DC9" w:rsidRPr="00BC4205">
          <w:rPr>
            <w:rStyle w:val="Kpr"/>
            <w:rFonts w:cs="Calibri"/>
            <w:b/>
            <w:bCs/>
          </w:rPr>
          <w:t>YAKIN İZLEME P</w:t>
        </w:r>
        <w:r w:rsidR="003D0DC9" w:rsidRPr="00BC4205">
          <w:rPr>
            <w:rStyle w:val="Kpr"/>
            <w:rFonts w:cs="Calibri"/>
            <w:b/>
            <w:bCs/>
          </w:rPr>
          <w:t>A</w:t>
        </w:r>
        <w:r w:rsidR="003D0DC9" w:rsidRPr="00BC4205">
          <w:rPr>
            <w:rStyle w:val="Kpr"/>
            <w:rFonts w:cs="Calibri"/>
            <w:b/>
            <w:bCs/>
          </w:rPr>
          <w:t>ZARI (YİP) RİSK BİLDİRİM FORMU</w:t>
        </w:r>
      </w:hyperlink>
    </w:p>
    <w:p w14:paraId="686E541A" w14:textId="77777777" w:rsidR="003D0DC9" w:rsidRPr="00BC4205" w:rsidRDefault="00000000" w:rsidP="00874CBB">
      <w:pPr>
        <w:pStyle w:val="ListeParagraf"/>
        <w:numPr>
          <w:ilvl w:val="2"/>
          <w:numId w:val="18"/>
        </w:numPr>
        <w:spacing w:before="120" w:after="120"/>
        <w:ind w:left="1560" w:hanging="436"/>
        <w:contextualSpacing w:val="0"/>
        <w:rPr>
          <w:rFonts w:cs="Calibri"/>
          <w:b/>
          <w:bCs/>
        </w:rPr>
      </w:pPr>
      <w:r>
        <w:fldChar w:fldCharType="begin"/>
      </w:r>
      <w:r>
        <w:instrText>HYPERLINK \l "_PİYASA_ÖNCESİ_İŞLEM"</w:instrText>
      </w:r>
      <w:r>
        <w:fldChar w:fldCharType="separate"/>
      </w:r>
      <w:r w:rsidR="003D0DC9" w:rsidRPr="00BC4205">
        <w:rPr>
          <w:rStyle w:val="Kpr"/>
          <w:rFonts w:cs="Calibri"/>
          <w:b/>
          <w:bCs/>
        </w:rPr>
        <w:t>PİYASA ÖNCESİ İŞLEM PLATFORMU (PÖİP) BİLGİLENDİRME FORMU</w:t>
      </w:r>
      <w:r>
        <w:rPr>
          <w:rStyle w:val="Kpr"/>
          <w:rFonts w:cs="Calibri"/>
          <w:b/>
          <w:bCs/>
        </w:rPr>
        <w:fldChar w:fldCharType="end"/>
      </w:r>
    </w:p>
    <w:p w14:paraId="6B9D67D9" w14:textId="77777777" w:rsidR="003D0DC9" w:rsidRPr="00BC4205" w:rsidRDefault="00000000" w:rsidP="00874CBB">
      <w:pPr>
        <w:pStyle w:val="ListeParagraf"/>
        <w:numPr>
          <w:ilvl w:val="0"/>
          <w:numId w:val="26"/>
        </w:numPr>
        <w:spacing w:before="120" w:after="120"/>
        <w:ind w:left="426" w:hanging="142"/>
        <w:contextualSpacing w:val="0"/>
        <w:rPr>
          <w:rFonts w:cs="Calibri"/>
          <w:b/>
          <w:bCs/>
        </w:rPr>
      </w:pPr>
      <w:hyperlink w:anchor="_VARANT_ve_VARANT" w:history="1">
        <w:r w:rsidR="003D0DC9" w:rsidRPr="00BC4205">
          <w:rPr>
            <w:rStyle w:val="Kpr"/>
            <w:rFonts w:cs="Calibri"/>
            <w:b/>
            <w:bCs/>
          </w:rPr>
          <w:t>VARANT ve VARANT BENZERİ SERMAYE PİYASASI</w:t>
        </w:r>
        <w:r w:rsidR="003D0DC9" w:rsidRPr="00BC4205">
          <w:rPr>
            <w:rStyle w:val="Kpr"/>
            <w:rFonts w:cs="Calibri"/>
            <w:b/>
            <w:bCs/>
          </w:rPr>
          <w:t xml:space="preserve"> </w:t>
        </w:r>
        <w:r w:rsidR="003D0DC9" w:rsidRPr="00BC4205">
          <w:rPr>
            <w:rStyle w:val="Kpr"/>
            <w:rFonts w:cs="Calibri"/>
            <w:b/>
            <w:bCs/>
          </w:rPr>
          <w:t>ARAÇLARI RİSK BİLDİRİM FORMU</w:t>
        </w:r>
      </w:hyperlink>
    </w:p>
    <w:p w14:paraId="10A5DA15" w14:textId="52C1A61A" w:rsidR="003D0DC9" w:rsidRPr="00BC4205" w:rsidRDefault="00000000" w:rsidP="00874CBB">
      <w:pPr>
        <w:pStyle w:val="ListeParagraf"/>
        <w:numPr>
          <w:ilvl w:val="0"/>
          <w:numId w:val="26"/>
        </w:numPr>
        <w:spacing w:before="120" w:after="120"/>
        <w:ind w:left="426" w:hanging="142"/>
        <w:contextualSpacing w:val="0"/>
        <w:rPr>
          <w:rFonts w:eastAsiaTheme="majorEastAsia" w:cs="Calibri"/>
          <w:b/>
          <w:bCs/>
          <w:caps/>
        </w:rPr>
      </w:pPr>
      <w:hyperlink w:anchor="_VII-128.1_sayılı_“Pay" w:history="1">
        <w:r w:rsidR="003D0DC9" w:rsidRPr="00BC4205">
          <w:rPr>
            <w:rStyle w:val="Kpr"/>
            <w:rFonts w:cs="Calibri"/>
            <w:b/>
            <w:bCs/>
            <w:caps/>
          </w:rPr>
          <w:t>VII-128.1 sayılı “P</w:t>
        </w:r>
        <w:r w:rsidR="003D0DC9" w:rsidRPr="00BC4205">
          <w:rPr>
            <w:rStyle w:val="Kpr"/>
            <w:rFonts w:cs="Calibri"/>
            <w:b/>
            <w:bCs/>
            <w:caps/>
          </w:rPr>
          <w:t>ay Tebliği”ni</w:t>
        </w:r>
        <w:r w:rsidR="003D0DC9" w:rsidRPr="00BC4205">
          <w:rPr>
            <w:rStyle w:val="Kpr"/>
            <w:rFonts w:cs="Calibri"/>
            <w:b/>
            <w:bCs/>
            <w:caps/>
          </w:rPr>
          <w:t>n</w:t>
        </w:r>
        <w:r w:rsidR="003D0DC9" w:rsidRPr="00BC4205">
          <w:rPr>
            <w:rStyle w:val="Kpr"/>
            <w:rFonts w:cs="Calibri"/>
            <w:b/>
            <w:bCs/>
            <w:caps/>
          </w:rPr>
          <w:t xml:space="preserve"> </w:t>
        </w:r>
        <w:r w:rsidR="003D0DC9" w:rsidRPr="00BC4205">
          <w:rPr>
            <w:rStyle w:val="Kpr"/>
            <w:rFonts w:cs="Calibri"/>
            <w:b/>
            <w:bCs/>
            <w:caps/>
          </w:rPr>
          <w:t>18 ve 19’uncu maddeleri kapsamında YAPILACAK SERMAYE ARTT</w:t>
        </w:r>
        <w:r w:rsidR="003D0DC9" w:rsidRPr="00BC4205">
          <w:rPr>
            <w:rStyle w:val="Kpr"/>
            <w:rFonts w:cs="Calibri"/>
            <w:b/>
            <w:bCs/>
            <w:caps/>
          </w:rPr>
          <w:t>I</w:t>
        </w:r>
        <w:r w:rsidR="003D0DC9" w:rsidRPr="00BC4205">
          <w:rPr>
            <w:rStyle w:val="Kpr"/>
            <w:rFonts w:cs="Calibri"/>
            <w:b/>
            <w:bCs/>
            <w:caps/>
          </w:rPr>
          <w:t>RIMLARINA İLİŞKİN Y</w:t>
        </w:r>
        <w:r w:rsidR="003D0DC9" w:rsidRPr="00BC4205">
          <w:rPr>
            <w:rStyle w:val="Kpr"/>
            <w:rFonts w:cs="Calibri"/>
            <w:b/>
            <w:bCs/>
            <w:caps/>
          </w:rPr>
          <w:t>A</w:t>
        </w:r>
        <w:r w:rsidR="003D0DC9" w:rsidRPr="00BC4205">
          <w:rPr>
            <w:rStyle w:val="Kpr"/>
            <w:rFonts w:cs="Calibri"/>
            <w:b/>
            <w:bCs/>
            <w:caps/>
          </w:rPr>
          <w:t>TIRIMCI BİLGİLENDİRMESİ</w:t>
        </w:r>
      </w:hyperlink>
      <w:r w:rsidR="003D0DC9" w:rsidRPr="00BC4205">
        <w:rPr>
          <w:rFonts w:eastAsiaTheme="majorEastAsia" w:cs="Calibri"/>
          <w:b/>
          <w:bCs/>
          <w:caps/>
        </w:rPr>
        <w:t xml:space="preserve"> </w:t>
      </w:r>
    </w:p>
    <w:p w14:paraId="45AC20FC" w14:textId="77777777" w:rsidR="003D0DC9" w:rsidRPr="00BC4205" w:rsidRDefault="00000000" w:rsidP="00874CBB">
      <w:pPr>
        <w:pStyle w:val="ListeParagraf"/>
        <w:numPr>
          <w:ilvl w:val="2"/>
          <w:numId w:val="18"/>
        </w:numPr>
        <w:spacing w:before="120" w:after="120"/>
        <w:ind w:left="1560" w:hanging="426"/>
        <w:contextualSpacing w:val="0"/>
        <w:jc w:val="both"/>
        <w:rPr>
          <w:rFonts w:eastAsiaTheme="majorEastAsia" w:cs="Calibri"/>
          <w:b/>
          <w:bCs/>
          <w:caps/>
        </w:rPr>
      </w:pPr>
      <w:hyperlink w:anchor="_FON_ÇIKIŞI_GEREKTİRMEYEN" w:history="1">
        <w:r w:rsidR="003D0DC9" w:rsidRPr="00BC4205">
          <w:rPr>
            <w:rStyle w:val="Kpr"/>
            <w:rFonts w:eastAsiaTheme="majorEastAsia" w:cs="Calibri"/>
            <w:b/>
            <w:bCs/>
            <w:caps/>
          </w:rPr>
          <w:t>FON ÇIKIŞI GEREKTİRMEYEN SERMAYE AZATIMI İLE EŞ ANLI OLA</w:t>
        </w:r>
        <w:r w:rsidR="003D0DC9" w:rsidRPr="00BC4205">
          <w:rPr>
            <w:rStyle w:val="Kpr"/>
            <w:rFonts w:eastAsiaTheme="majorEastAsia" w:cs="Calibri"/>
            <w:b/>
            <w:bCs/>
            <w:caps/>
          </w:rPr>
          <w:t>R</w:t>
        </w:r>
        <w:r w:rsidR="003D0DC9" w:rsidRPr="00BC4205">
          <w:rPr>
            <w:rStyle w:val="Kpr"/>
            <w:rFonts w:eastAsiaTheme="majorEastAsia" w:cs="Calibri"/>
            <w:b/>
            <w:bCs/>
            <w:caps/>
          </w:rPr>
          <w:t>AK YA DA SERMAYE AZALTIMININ SONUÇLANMASINDAN İTİBAREN İKİ YIL İÇERİSİNDE YAPILACAK SERMAYE ARTIRIMI RİSK BİLDİRİM FORMU</w:t>
        </w:r>
      </w:hyperlink>
    </w:p>
    <w:p w14:paraId="777A36B7" w14:textId="77777777" w:rsidR="003D0DC9" w:rsidRPr="00BC4205" w:rsidRDefault="00000000" w:rsidP="00874CBB">
      <w:pPr>
        <w:pStyle w:val="ListeParagraf"/>
        <w:numPr>
          <w:ilvl w:val="2"/>
          <w:numId w:val="18"/>
        </w:numPr>
        <w:spacing w:before="120" w:after="120"/>
        <w:ind w:left="1560" w:hanging="426"/>
        <w:contextualSpacing w:val="0"/>
        <w:jc w:val="both"/>
        <w:rPr>
          <w:rFonts w:cs="Calibri"/>
          <w:b/>
          <w:bCs/>
          <w:caps/>
        </w:rPr>
      </w:pPr>
      <w:hyperlink w:anchor="_NOMİNAL_DEĞERİN_ALTINDA" w:history="1">
        <w:r w:rsidR="003D0DC9" w:rsidRPr="00BC4205">
          <w:rPr>
            <w:rStyle w:val="Kpr"/>
            <w:rFonts w:cs="Calibri"/>
            <w:b/>
            <w:bCs/>
          </w:rPr>
          <w:t>NOMİNA</w:t>
        </w:r>
        <w:r w:rsidR="003D0DC9" w:rsidRPr="00BC4205">
          <w:rPr>
            <w:rStyle w:val="Kpr"/>
            <w:rFonts w:cs="Calibri"/>
            <w:b/>
            <w:bCs/>
          </w:rPr>
          <w:t>L</w:t>
        </w:r>
        <w:r w:rsidR="003D0DC9" w:rsidRPr="00BC4205">
          <w:rPr>
            <w:rStyle w:val="Kpr"/>
            <w:rFonts w:cs="Calibri"/>
            <w:b/>
            <w:bCs/>
          </w:rPr>
          <w:t xml:space="preserve"> DEĞERİN ALTINDA PAY İHRACI YOLUYLA SERMAYE ARTIRIMI RİSK BİLDİRİM FORMU</w:t>
        </w:r>
      </w:hyperlink>
    </w:p>
    <w:p w14:paraId="2691FC26" w14:textId="77777777" w:rsidR="003D0DC9" w:rsidRPr="00BC4205" w:rsidRDefault="00000000" w:rsidP="00874CBB">
      <w:pPr>
        <w:pStyle w:val="ListeParagraf"/>
        <w:numPr>
          <w:ilvl w:val="0"/>
          <w:numId w:val="26"/>
        </w:numPr>
        <w:spacing w:before="120" w:after="120"/>
        <w:ind w:left="426" w:hanging="142"/>
        <w:contextualSpacing w:val="0"/>
        <w:rPr>
          <w:rFonts w:cs="Calibri"/>
          <w:b/>
          <w:bCs/>
        </w:rPr>
      </w:pPr>
      <w:hyperlink w:anchor="_TÜREV_ARAÇLAR_RİSK" w:history="1">
        <w:r w:rsidR="003D0DC9" w:rsidRPr="00776A7F">
          <w:rPr>
            <w:rStyle w:val="Kpr"/>
            <w:rFonts w:cs="Calibri"/>
            <w:b/>
            <w:bCs/>
            <w:caps/>
          </w:rPr>
          <w:t>TÜREV</w:t>
        </w:r>
        <w:r w:rsidR="003D0DC9" w:rsidRPr="00BC4205">
          <w:rPr>
            <w:rStyle w:val="Kpr"/>
            <w:rFonts w:cs="Calibri"/>
            <w:b/>
            <w:bCs/>
          </w:rPr>
          <w:t xml:space="preserve"> ARAÇLAR RİSK B</w:t>
        </w:r>
        <w:r w:rsidR="003D0DC9" w:rsidRPr="00BC4205">
          <w:rPr>
            <w:rStyle w:val="Kpr"/>
            <w:rFonts w:cs="Calibri"/>
            <w:b/>
            <w:bCs/>
          </w:rPr>
          <w:t>İ</w:t>
        </w:r>
        <w:r w:rsidR="003D0DC9" w:rsidRPr="00BC4205">
          <w:rPr>
            <w:rStyle w:val="Kpr"/>
            <w:rFonts w:cs="Calibri"/>
            <w:b/>
            <w:bCs/>
          </w:rPr>
          <w:t>LDİRİM FORMU</w:t>
        </w:r>
      </w:hyperlink>
    </w:p>
    <w:p w14:paraId="49830669" w14:textId="77777777" w:rsidR="003D0DC9" w:rsidRPr="00776A7F" w:rsidRDefault="00000000" w:rsidP="00874CBB">
      <w:pPr>
        <w:pStyle w:val="ListeParagraf"/>
        <w:numPr>
          <w:ilvl w:val="0"/>
          <w:numId w:val="26"/>
        </w:numPr>
        <w:spacing w:before="120" w:after="120"/>
        <w:ind w:left="426" w:hanging="142"/>
        <w:contextualSpacing w:val="0"/>
        <w:rPr>
          <w:rStyle w:val="Kpr"/>
          <w:rFonts w:cs="Calibri"/>
        </w:rPr>
      </w:pPr>
      <w:hyperlink w:anchor="_Yatırım_Fonlarına_İlişkin" w:history="1">
        <w:r w:rsidR="003D0DC9" w:rsidRPr="00BC4205">
          <w:rPr>
            <w:rStyle w:val="Kpr"/>
            <w:rFonts w:cs="Calibri"/>
            <w:b/>
            <w:bCs/>
            <w:caps/>
          </w:rPr>
          <w:t>Yat</w:t>
        </w:r>
        <w:r w:rsidR="003D0DC9" w:rsidRPr="00BC4205">
          <w:rPr>
            <w:rStyle w:val="Kpr"/>
            <w:rFonts w:cs="Calibri"/>
            <w:b/>
            <w:bCs/>
            <w:caps/>
          </w:rPr>
          <w:t>ı</w:t>
        </w:r>
        <w:r w:rsidR="003D0DC9" w:rsidRPr="00BC4205">
          <w:rPr>
            <w:rStyle w:val="Kpr"/>
            <w:rFonts w:cs="Calibri"/>
            <w:b/>
            <w:bCs/>
            <w:caps/>
          </w:rPr>
          <w:t>rım Fonlarına İlişkin Risk Bildirim Formu</w:t>
        </w:r>
      </w:hyperlink>
    </w:p>
    <w:p w14:paraId="7997050E" w14:textId="00715A02" w:rsidR="00F86ED1" w:rsidRPr="00776A7F" w:rsidRDefault="00000000" w:rsidP="00874CBB">
      <w:pPr>
        <w:pStyle w:val="ListeParagraf"/>
        <w:numPr>
          <w:ilvl w:val="0"/>
          <w:numId w:val="26"/>
        </w:numPr>
        <w:spacing w:before="120" w:after="120"/>
        <w:ind w:left="426" w:hanging="142"/>
        <w:contextualSpacing w:val="0"/>
        <w:rPr>
          <w:rStyle w:val="Kpr"/>
          <w:rFonts w:cs="Calibri"/>
          <w:b/>
          <w:bCs/>
          <w:caps/>
        </w:rPr>
      </w:pPr>
      <w:hyperlink w:anchor="_SERBEST_FONLARA_İLİŞKİN" w:history="1">
        <w:r w:rsidR="00F86ED1" w:rsidRPr="00BC4205">
          <w:rPr>
            <w:rStyle w:val="Kpr"/>
            <w:rFonts w:cs="Calibri"/>
            <w:b/>
            <w:bCs/>
            <w:caps/>
          </w:rPr>
          <w:t>SERBEST</w:t>
        </w:r>
        <w:r w:rsidR="00F86ED1" w:rsidRPr="00BC4205">
          <w:rPr>
            <w:rStyle w:val="Kpr"/>
            <w:rFonts w:cs="Calibri"/>
            <w:b/>
            <w:bCs/>
            <w:caps/>
          </w:rPr>
          <w:t xml:space="preserve"> </w:t>
        </w:r>
        <w:r w:rsidR="00F86ED1" w:rsidRPr="00BC4205">
          <w:rPr>
            <w:rStyle w:val="Kpr"/>
            <w:rFonts w:cs="Calibri"/>
            <w:b/>
            <w:bCs/>
            <w:caps/>
          </w:rPr>
          <w:t>FONLARA İLİŞKİN RİSK BİLDİRİM FORMU</w:t>
        </w:r>
      </w:hyperlink>
    </w:p>
    <w:p w14:paraId="2473F080" w14:textId="657AE42C" w:rsidR="003D0DC9" w:rsidRPr="00BC4205" w:rsidRDefault="00000000" w:rsidP="00874CBB">
      <w:pPr>
        <w:pStyle w:val="ListeParagraf"/>
        <w:numPr>
          <w:ilvl w:val="0"/>
          <w:numId w:val="26"/>
        </w:numPr>
        <w:spacing w:before="120" w:after="120"/>
        <w:ind w:left="426" w:hanging="142"/>
        <w:contextualSpacing w:val="0"/>
        <w:rPr>
          <w:rStyle w:val="Kpr"/>
          <w:rFonts w:cs="Calibri"/>
          <w:b/>
          <w:bCs/>
          <w:caps/>
        </w:rPr>
      </w:pPr>
      <w:hyperlink w:anchor="_GAYRİMENKUL_SERTİFİKALARINA_İLİŞKİN" w:history="1">
        <w:r w:rsidR="003D0DC9" w:rsidRPr="00BC4205">
          <w:rPr>
            <w:rStyle w:val="Kpr"/>
            <w:rFonts w:cs="Calibri"/>
            <w:b/>
            <w:bCs/>
            <w:caps/>
          </w:rPr>
          <w:t>GAYRİMENKUL S</w:t>
        </w:r>
        <w:r w:rsidR="003D0DC9" w:rsidRPr="00BC4205">
          <w:rPr>
            <w:rStyle w:val="Kpr"/>
            <w:rFonts w:cs="Calibri"/>
            <w:b/>
            <w:bCs/>
            <w:caps/>
          </w:rPr>
          <w:t>E</w:t>
        </w:r>
        <w:r w:rsidR="003D0DC9" w:rsidRPr="00BC4205">
          <w:rPr>
            <w:rStyle w:val="Kpr"/>
            <w:rFonts w:cs="Calibri"/>
            <w:b/>
            <w:bCs/>
            <w:caps/>
          </w:rPr>
          <w:t>RTİFİKALARINA İLİŞKİN RİSK BİLDİRİM FORMU</w:t>
        </w:r>
      </w:hyperlink>
    </w:p>
    <w:p w14:paraId="0EDE1AD2" w14:textId="77777777" w:rsidR="003D0DC9" w:rsidRPr="00BC4205" w:rsidRDefault="00000000" w:rsidP="00874CBB">
      <w:pPr>
        <w:pStyle w:val="ListeParagraf"/>
        <w:numPr>
          <w:ilvl w:val="0"/>
          <w:numId w:val="26"/>
        </w:numPr>
        <w:spacing w:before="120" w:after="120"/>
        <w:ind w:left="426" w:hanging="142"/>
        <w:contextualSpacing w:val="0"/>
        <w:rPr>
          <w:rFonts w:cs="Calibri"/>
          <w:b/>
          <w:bCs/>
          <w:caps/>
        </w:rPr>
      </w:pPr>
      <w:hyperlink w:anchor="_BORÇLANMA_ARAÇLARI_RİSK" w:history="1">
        <w:r w:rsidR="003D0DC9" w:rsidRPr="00BC4205">
          <w:rPr>
            <w:rStyle w:val="Kpr"/>
            <w:rFonts w:cs="Calibri"/>
            <w:b/>
            <w:bCs/>
            <w:caps/>
          </w:rPr>
          <w:t xml:space="preserve">BORÇLANMA </w:t>
        </w:r>
        <w:r w:rsidR="003D0DC9" w:rsidRPr="00BC4205">
          <w:rPr>
            <w:rStyle w:val="Kpr"/>
            <w:rFonts w:cs="Calibri"/>
            <w:b/>
            <w:bCs/>
            <w:caps/>
          </w:rPr>
          <w:t>A</w:t>
        </w:r>
        <w:r w:rsidR="003D0DC9" w:rsidRPr="00BC4205">
          <w:rPr>
            <w:rStyle w:val="Kpr"/>
            <w:rFonts w:cs="Calibri"/>
            <w:b/>
            <w:bCs/>
            <w:caps/>
          </w:rPr>
          <w:t>RAÇLARI RİSK BİLDİRİM FORMU</w:t>
        </w:r>
      </w:hyperlink>
    </w:p>
    <w:p w14:paraId="2F3B9822" w14:textId="5515CCAD" w:rsidR="00293A09" w:rsidRPr="00776A7F" w:rsidRDefault="00000000" w:rsidP="00874CBB">
      <w:pPr>
        <w:pStyle w:val="ListeParagraf"/>
        <w:numPr>
          <w:ilvl w:val="0"/>
          <w:numId w:val="26"/>
        </w:numPr>
        <w:spacing w:before="120" w:after="120"/>
        <w:ind w:left="426" w:hanging="142"/>
        <w:rPr>
          <w:rFonts w:cs="Calibri"/>
          <w:sz w:val="20"/>
          <w:szCs w:val="20"/>
        </w:rPr>
      </w:pPr>
      <w:hyperlink w:anchor="_YURT_DIŞI_İŞLEMLER" w:history="1">
        <w:r w:rsidR="00776A7F" w:rsidRPr="00776A7F">
          <w:rPr>
            <w:rStyle w:val="Kpr"/>
            <w:rFonts w:cs="Calibri"/>
            <w:b/>
            <w:bCs/>
            <w:caps/>
          </w:rPr>
          <w:t>YURT DIŞI İŞLEMLER RİS</w:t>
        </w:r>
        <w:r w:rsidR="00776A7F" w:rsidRPr="00776A7F">
          <w:rPr>
            <w:rStyle w:val="Kpr"/>
            <w:rFonts w:cs="Calibri"/>
            <w:b/>
            <w:bCs/>
            <w:caps/>
          </w:rPr>
          <w:t>K</w:t>
        </w:r>
        <w:r w:rsidR="00776A7F" w:rsidRPr="00776A7F">
          <w:rPr>
            <w:rStyle w:val="Kpr"/>
            <w:rFonts w:cs="Calibri"/>
            <w:b/>
            <w:bCs/>
            <w:caps/>
          </w:rPr>
          <w:t xml:space="preserve"> BİLDİRİM FORMU</w:t>
        </w:r>
      </w:hyperlink>
    </w:p>
    <w:p w14:paraId="16903699" w14:textId="77777777" w:rsidR="00293A09" w:rsidRPr="00BC4205" w:rsidRDefault="00293A09" w:rsidP="00293A09">
      <w:pPr>
        <w:rPr>
          <w:rFonts w:cs="Calibri"/>
        </w:rPr>
      </w:pPr>
    </w:p>
    <w:p w14:paraId="3B4C651F" w14:textId="77777777" w:rsidR="00293A09" w:rsidRPr="00BC4205" w:rsidRDefault="00293A09" w:rsidP="00293A09">
      <w:pPr>
        <w:rPr>
          <w:rFonts w:cs="Calibri"/>
        </w:rPr>
      </w:pPr>
    </w:p>
    <w:p w14:paraId="571A866A" w14:textId="77777777" w:rsidR="00293A09" w:rsidRPr="00BC4205" w:rsidRDefault="00293A09" w:rsidP="00293A09">
      <w:pPr>
        <w:rPr>
          <w:rFonts w:cs="Calibri"/>
        </w:rPr>
      </w:pPr>
    </w:p>
    <w:p w14:paraId="2B1CAB0A" w14:textId="77777777" w:rsidR="00293A09" w:rsidRPr="00BC4205" w:rsidRDefault="00293A09" w:rsidP="00293A09">
      <w:pPr>
        <w:rPr>
          <w:rFonts w:cs="Calibri"/>
        </w:rPr>
      </w:pPr>
    </w:p>
    <w:p w14:paraId="286C55B8" w14:textId="77777777" w:rsidR="00293A09" w:rsidRPr="00BC4205" w:rsidRDefault="00293A09" w:rsidP="00293A09">
      <w:pPr>
        <w:rPr>
          <w:rFonts w:cs="Calibri"/>
        </w:rPr>
      </w:pPr>
    </w:p>
    <w:p w14:paraId="180AAE27" w14:textId="77777777" w:rsidR="00293A09" w:rsidRPr="00BC4205" w:rsidRDefault="00293A09" w:rsidP="00293A09">
      <w:pPr>
        <w:rPr>
          <w:rFonts w:cs="Calibri"/>
        </w:rPr>
      </w:pPr>
    </w:p>
    <w:p w14:paraId="452BF652" w14:textId="77777777" w:rsidR="00293A09" w:rsidRPr="00BC4205" w:rsidRDefault="00293A09" w:rsidP="00293A09">
      <w:pPr>
        <w:rPr>
          <w:rFonts w:cs="Calibri"/>
        </w:rPr>
      </w:pPr>
    </w:p>
    <w:p w14:paraId="279186A6" w14:textId="7435B54D" w:rsidR="00636E11" w:rsidRPr="00BC4205" w:rsidRDefault="00636E11" w:rsidP="00636E11">
      <w:pPr>
        <w:pStyle w:val="Balk1"/>
        <w:jc w:val="center"/>
        <w:rPr>
          <w:rFonts w:ascii="Calibri" w:hAnsi="Calibri" w:cs="Calibri"/>
          <w:b/>
          <w:bCs/>
          <w:color w:val="auto"/>
          <w:sz w:val="24"/>
          <w:szCs w:val="24"/>
        </w:rPr>
      </w:pPr>
      <w:bookmarkStart w:id="3" w:name="_YATIRIM_HİZMET_VE"/>
      <w:bookmarkStart w:id="4" w:name="_PAY_PİYASASI_RİSK"/>
      <w:bookmarkEnd w:id="0"/>
      <w:bookmarkEnd w:id="1"/>
      <w:bookmarkEnd w:id="2"/>
      <w:bookmarkEnd w:id="3"/>
      <w:bookmarkEnd w:id="4"/>
      <w:r w:rsidRPr="00BC4205">
        <w:rPr>
          <w:rFonts w:ascii="Calibri" w:hAnsi="Calibri" w:cs="Calibri"/>
          <w:b/>
          <w:bCs/>
          <w:color w:val="auto"/>
          <w:sz w:val="24"/>
          <w:szCs w:val="24"/>
        </w:rPr>
        <w:lastRenderedPageBreak/>
        <w:t>PAY PİYASASI RİSK BİLDİRİM FORMU</w:t>
      </w:r>
    </w:p>
    <w:p w14:paraId="14E743F5" w14:textId="77777777" w:rsidR="00636E11" w:rsidRPr="00BC4205" w:rsidRDefault="00636E11" w:rsidP="00636E11">
      <w:pPr>
        <w:shd w:val="clear" w:color="auto" w:fill="FFFFFF"/>
        <w:spacing w:before="120" w:after="0" w:line="240" w:lineRule="auto"/>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Önemli Açıklama</w:t>
      </w:r>
    </w:p>
    <w:p w14:paraId="0726C395" w14:textId="77777777" w:rsidR="00636E11" w:rsidRPr="00BC4205" w:rsidRDefault="00636E11" w:rsidP="00636E11">
      <w:pPr>
        <w:tabs>
          <w:tab w:val="left" w:pos="567"/>
        </w:tabs>
        <w:autoSpaceDN w:val="0"/>
        <w:spacing w:before="120" w:after="0" w:line="240" w:lineRule="auto"/>
        <w:jc w:val="both"/>
        <w:rPr>
          <w:rFonts w:eastAsiaTheme="minorHAnsi" w:cs="Calibri"/>
          <w:color w:val="262626" w:themeColor="text1" w:themeTint="D9"/>
          <w:lang w:eastAsia="tr-TR"/>
        </w:rPr>
      </w:pPr>
      <w:r w:rsidRPr="00BC4205">
        <w:rPr>
          <w:rFonts w:eastAsiaTheme="minorHAnsi" w:cs="Calibri"/>
          <w:color w:val="262626" w:themeColor="text1" w:themeTint="D9"/>
          <w:lang w:eastAsia="tr-TR"/>
        </w:rPr>
        <w:t xml:space="preserve">Borsa İstanbul A.Ş. Pay Piyasasında (“Pay Piyasası”) gerçekleştireceğiniz alım/satım işlemleri sonucunda kâr elde edebileceğiniz gibi zarar riskiniz de bulunmaktadır. Bu nedenle, işlem yapmaya karar vermeden önce, Pay Piyasası’nda karşılaşabileceğiniz riskleri anlamanız, mali durumunuzu ve kısıtlarınızı dikkate alarak karar vermeniz gerekmektedir. </w:t>
      </w:r>
    </w:p>
    <w:p w14:paraId="7529D9BB" w14:textId="77777777" w:rsidR="00636E11" w:rsidRPr="00BC4205" w:rsidRDefault="00636E11" w:rsidP="00636E11">
      <w:pPr>
        <w:tabs>
          <w:tab w:val="left" w:pos="567"/>
        </w:tabs>
        <w:autoSpaceDN w:val="0"/>
        <w:spacing w:before="120" w:after="0" w:line="240" w:lineRule="auto"/>
        <w:jc w:val="both"/>
        <w:rPr>
          <w:rFonts w:eastAsiaTheme="minorHAnsi" w:cs="Calibri"/>
          <w:color w:val="262626" w:themeColor="text1" w:themeTint="D9"/>
          <w:lang w:eastAsia="tr-TR"/>
        </w:rPr>
      </w:pPr>
      <w:r w:rsidRPr="00BC4205">
        <w:rPr>
          <w:rFonts w:eastAsiaTheme="minorHAnsi" w:cs="Calibri"/>
          <w:color w:val="262626" w:themeColor="text1" w:themeTint="D9"/>
          <w:lang w:eastAsia="tr-TR"/>
        </w:rPr>
        <w:t xml:space="preserve">Bu amaçla, III-39.1 sayılı “Yatırım Kuruluşlarının Kuruluş ve Faaliyet Esasları Hakkında </w:t>
      </w:r>
      <w:proofErr w:type="spellStart"/>
      <w:r w:rsidRPr="00BC4205">
        <w:rPr>
          <w:rFonts w:eastAsiaTheme="minorHAnsi" w:cs="Calibri"/>
          <w:color w:val="262626" w:themeColor="text1" w:themeTint="D9"/>
          <w:lang w:eastAsia="tr-TR"/>
        </w:rPr>
        <w:t>Tebliğ”in</w:t>
      </w:r>
      <w:proofErr w:type="spellEnd"/>
      <w:r w:rsidRPr="00BC4205">
        <w:rPr>
          <w:rFonts w:eastAsiaTheme="minorHAnsi" w:cs="Calibri"/>
          <w:color w:val="262626" w:themeColor="text1" w:themeTint="D9"/>
          <w:lang w:eastAsia="tr-TR"/>
        </w:rPr>
        <w:t xml:space="preserve"> (Tebliğ) 25 inci maddesi uyarınca bu Risk Bildirim </w:t>
      </w:r>
      <w:proofErr w:type="spellStart"/>
      <w:r w:rsidRPr="00BC4205">
        <w:rPr>
          <w:rFonts w:eastAsiaTheme="minorHAnsi" w:cs="Calibri"/>
          <w:color w:val="262626" w:themeColor="text1" w:themeTint="D9"/>
          <w:lang w:eastAsia="tr-TR"/>
        </w:rPr>
        <w:t>Formu’nda</w:t>
      </w:r>
      <w:proofErr w:type="spellEnd"/>
      <w:r w:rsidRPr="00BC4205">
        <w:rPr>
          <w:rFonts w:eastAsiaTheme="minorHAnsi" w:cs="Calibri"/>
          <w:color w:val="262626" w:themeColor="text1" w:themeTint="D9"/>
          <w:lang w:eastAsia="tr-TR"/>
        </w:rPr>
        <w:t xml:space="preserve"> yer alan aşağıdaki hususları anlamanız gerekmektedir. </w:t>
      </w:r>
    </w:p>
    <w:p w14:paraId="6192DA63"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Genel Bilgi</w:t>
      </w:r>
    </w:p>
    <w:p w14:paraId="59D0E0C1" w14:textId="77777777" w:rsidR="00636E11" w:rsidRPr="00BC4205" w:rsidRDefault="00636E11" w:rsidP="00636E11">
      <w:pPr>
        <w:autoSpaceDN w:val="0"/>
        <w:spacing w:before="120" w:after="0" w:line="240" w:lineRule="auto"/>
        <w:jc w:val="both"/>
        <w:rPr>
          <w:rFonts w:eastAsiaTheme="minorHAnsi" w:cs="Calibri"/>
          <w:color w:val="262626" w:themeColor="text1" w:themeTint="D9"/>
          <w:lang w:eastAsia="tr-TR"/>
        </w:rPr>
      </w:pPr>
      <w:r w:rsidRPr="00BC4205">
        <w:rPr>
          <w:rFonts w:eastAsiaTheme="minorHAnsi" w:cs="Calibri"/>
          <w:color w:val="262626" w:themeColor="text1" w:themeTint="D9"/>
          <w:lang w:eastAsia="tr-TR"/>
        </w:rPr>
        <w:t>Pay Piyasası, payların, yeni pay alma haklarının, borsa yatırım fonlarının, varantların ve sertifikaların Borsa İstanbul A.Ş. (BİST) bünyesinde işlem gördüğü piyasadır.</w:t>
      </w:r>
    </w:p>
    <w:p w14:paraId="3D4B2F52" w14:textId="77777777" w:rsidR="00636E11" w:rsidRPr="00BC4205" w:rsidRDefault="00636E11" w:rsidP="00636E11">
      <w:pPr>
        <w:autoSpaceDN w:val="0"/>
        <w:spacing w:before="120" w:after="0" w:line="240" w:lineRule="auto"/>
        <w:jc w:val="both"/>
        <w:rPr>
          <w:rFonts w:cs="Calibri"/>
          <w:bCs/>
          <w:color w:val="262626" w:themeColor="text1" w:themeTint="D9"/>
          <w:lang w:eastAsia="tr-TR"/>
        </w:rPr>
      </w:pPr>
      <w:r w:rsidRPr="00BC4205">
        <w:rPr>
          <w:rFonts w:cs="Calibri"/>
          <w:bCs/>
          <w:color w:val="262626" w:themeColor="text1" w:themeTint="D9"/>
          <w:lang w:eastAsia="tr-TR"/>
        </w:rPr>
        <w:t xml:space="preserve">Pay Piyasası takas günü, işlem gününü takip eden ikinci iş günüdür (T+2). Yarım günlerde takas işlemi gerçekleştirilmez. </w:t>
      </w:r>
      <w:proofErr w:type="spellStart"/>
      <w:r w:rsidRPr="00BC4205">
        <w:rPr>
          <w:rFonts w:cs="Calibri"/>
          <w:bCs/>
          <w:color w:val="262626" w:themeColor="text1" w:themeTint="D9"/>
          <w:lang w:eastAsia="tr-TR"/>
        </w:rPr>
        <w:t>Piyasa’da</w:t>
      </w:r>
      <w:proofErr w:type="spellEnd"/>
      <w:r w:rsidRPr="00BC4205">
        <w:rPr>
          <w:rFonts w:cs="Calibri"/>
          <w:bCs/>
          <w:color w:val="262626" w:themeColor="text1" w:themeTint="D9"/>
          <w:lang w:eastAsia="tr-TR"/>
        </w:rPr>
        <w:t xml:space="preserve"> yarım günde yapılan işlemlerin takası, bir önceki günün işlemleri ile birleştirilerek, yarım günü izleyen ikinci iş gününde toplu olarak gerçekleştirilir.</w:t>
      </w:r>
    </w:p>
    <w:p w14:paraId="08632327"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lang w:eastAsia="tr-TR"/>
        </w:rPr>
      </w:pPr>
      <w:r w:rsidRPr="00BC4205">
        <w:rPr>
          <w:rFonts w:eastAsiaTheme="minorHAnsi" w:cs="Calibri"/>
          <w:color w:val="262626" w:themeColor="text1" w:themeTint="D9"/>
        </w:rPr>
        <w:t xml:space="preserve">Paylar, ortaklığın sermayesini temsil eden ve sahibine ortaklık hakkı veren menkul kıymetlerdir. </w:t>
      </w:r>
      <w:r w:rsidRPr="00BC4205">
        <w:rPr>
          <w:rFonts w:eastAsiaTheme="minorHAnsi" w:cs="Calibri"/>
          <w:bCs/>
          <w:color w:val="262626" w:themeColor="text1" w:themeTint="D9"/>
          <w:lang w:eastAsia="tr-TR"/>
        </w:rPr>
        <w:t>Yeni pay alma hakkı (rüçhan hakkı), p</w:t>
      </w:r>
      <w:r w:rsidRPr="00BC4205">
        <w:rPr>
          <w:rFonts w:eastAsiaTheme="minorHAnsi" w:cs="Calibri"/>
          <w:color w:val="262626" w:themeColor="text1" w:themeTint="D9"/>
          <w:lang w:eastAsia="tr-TR"/>
        </w:rPr>
        <w:t>ay sahibinin, şirketin bedelli sermaye artırımına öncelikli katılma hakkıdır. Rüçhan hakkı kullanım süresi en az 15, en çok 60 gündür. Rüçhan hakkı kuponları, BİST Rüçhan Hakkı Kupon Pazarı’nda alınıp satılabilmektedir.</w:t>
      </w:r>
    </w:p>
    <w:p w14:paraId="5E4831C9" w14:textId="77777777" w:rsidR="00636E11" w:rsidRPr="00BC4205" w:rsidRDefault="00636E11" w:rsidP="00636E11">
      <w:pPr>
        <w:autoSpaceDN w:val="0"/>
        <w:spacing w:before="120" w:after="0" w:line="240" w:lineRule="auto"/>
        <w:jc w:val="both"/>
        <w:rPr>
          <w:rFonts w:eastAsiaTheme="minorHAnsi" w:cs="Calibri"/>
          <w:color w:val="262626" w:themeColor="text1" w:themeTint="D9"/>
          <w:lang w:eastAsia="tr-TR"/>
        </w:rPr>
      </w:pPr>
      <w:r w:rsidRPr="00BC4205">
        <w:rPr>
          <w:rFonts w:eastAsiaTheme="minorHAnsi" w:cs="Calibri"/>
          <w:color w:val="262626" w:themeColor="text1" w:themeTint="D9"/>
          <w:lang w:eastAsia="tr-TR"/>
        </w:rPr>
        <w:t xml:space="preserve">Borsa yatırım fonu, katılma payları </w:t>
      </w:r>
      <w:proofErr w:type="spellStart"/>
      <w:r w:rsidRPr="00BC4205">
        <w:rPr>
          <w:rFonts w:eastAsiaTheme="minorHAnsi" w:cs="Calibri"/>
          <w:color w:val="262626" w:themeColor="text1" w:themeTint="D9"/>
          <w:lang w:eastAsia="tr-TR"/>
        </w:rPr>
        <w:t>BİST’de</w:t>
      </w:r>
      <w:proofErr w:type="spellEnd"/>
      <w:r w:rsidRPr="00BC4205">
        <w:rPr>
          <w:rFonts w:eastAsiaTheme="minorHAnsi" w:cs="Calibri"/>
          <w:color w:val="262626" w:themeColor="text1" w:themeTint="D9"/>
          <w:lang w:eastAsia="tr-TR"/>
        </w:rPr>
        <w:t xml:space="preserve"> işlem gören, fon portföyünün kompozisyonunu yansıtacak şekilde portföyde yer alan varlıkların veya sadece nakdin teslimi suretiyle katılma payı oluşturabilen ya da katılma paylarının iadesi karşılığında söz konusu katılma paylarına karşılık gelen varlıkların veya sadece nakdin alınmasına imkân veren bir fon türüdür.</w:t>
      </w:r>
    </w:p>
    <w:p w14:paraId="12AAC2B7" w14:textId="77777777" w:rsidR="00636E11" w:rsidRPr="00BC4205" w:rsidRDefault="00636E11" w:rsidP="00636E11">
      <w:pPr>
        <w:autoSpaceDN w:val="0"/>
        <w:spacing w:before="120" w:after="0" w:line="240" w:lineRule="auto"/>
        <w:jc w:val="both"/>
        <w:rPr>
          <w:rFonts w:eastAsiaTheme="minorHAnsi" w:cs="Calibri"/>
          <w:color w:val="262626" w:themeColor="text1" w:themeTint="D9"/>
          <w:lang w:eastAsia="tr-TR"/>
        </w:rPr>
      </w:pPr>
      <w:r w:rsidRPr="00BC4205">
        <w:rPr>
          <w:rFonts w:eastAsiaTheme="minorHAnsi" w:cs="Calibri"/>
          <w:color w:val="262626" w:themeColor="text1" w:themeTint="D9"/>
          <w:lang w:eastAsia="tr-TR"/>
        </w:rPr>
        <w:t>Yatırım kuruluşu varantı (varant), sahibine, dayanak varlığı ya da göstergeyi önceden belirlenen bir fiyattan belirli bir tarihte veya belirli bir tarihe kadar alma veya satma hakkı veren ve bu hakkın kaydi teslimat ya da nakit uzlaşı ile kullanıldığı sermaye piyasası aracıdır. Sertifikalar, yatırımcıya vade tarihinde dayanak varlığın ya da göstergenin nihai değeri ile daha önceden kamuya açıklanmış kullanım fiyatı arasındaki fark üzerinden hesaplanan tutarda geri ödeme hakkı sağlayan sermaye piyasası araçlarıdır. Sertifikalar, yatırım kuruluşu varantları ile benzerlik göstermekle birlikte, değerlerinin farklı yöntemlerle hesaplanması gibi bazı temel özellikleri bakımından varantlardan ayrılmaktadır.</w:t>
      </w:r>
    </w:p>
    <w:p w14:paraId="3BFCA007" w14:textId="77777777" w:rsidR="00636E11" w:rsidRPr="00BC4205" w:rsidRDefault="00636E11" w:rsidP="00636E11">
      <w:pPr>
        <w:tabs>
          <w:tab w:val="left" w:pos="284"/>
        </w:tabs>
        <w:autoSpaceDN w:val="0"/>
        <w:spacing w:before="120" w:after="0" w:line="240" w:lineRule="auto"/>
        <w:jc w:val="both"/>
        <w:rPr>
          <w:rFonts w:eastAsiaTheme="minorHAnsi" w:cs="Calibri"/>
          <w:b/>
          <w:color w:val="262626" w:themeColor="text1" w:themeTint="D9"/>
          <w:lang w:eastAsia="tr-TR"/>
        </w:rPr>
      </w:pPr>
      <w:r w:rsidRPr="00BC4205">
        <w:rPr>
          <w:rFonts w:eastAsiaTheme="minorHAnsi" w:cs="Calibri"/>
          <w:color w:val="262626" w:themeColor="text1" w:themeTint="D9"/>
          <w:lang w:eastAsia="tr-TR"/>
        </w:rPr>
        <w:t>Pay Piyasası işlemleri hem birincil piyasayı hem ikincil piyasayı kapsamaktadır.</w:t>
      </w:r>
      <w:r w:rsidRPr="00BC4205">
        <w:rPr>
          <w:rFonts w:eastAsiaTheme="minorHAnsi" w:cs="Calibri"/>
          <w:b/>
          <w:color w:val="262626" w:themeColor="text1" w:themeTint="D9"/>
          <w:lang w:eastAsia="tr-TR"/>
        </w:rPr>
        <w:t xml:space="preserve"> </w:t>
      </w:r>
    </w:p>
    <w:p w14:paraId="6593F333"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Piyasa Yapıcısı Ve İhraççı Bilgileri</w:t>
      </w:r>
    </w:p>
    <w:p w14:paraId="77E5D061" w14:textId="77777777" w:rsidR="00636E11" w:rsidRPr="00BC4205" w:rsidRDefault="00636E11" w:rsidP="00636E11">
      <w:pPr>
        <w:autoSpaceDN w:val="0"/>
        <w:spacing w:before="120" w:after="0" w:line="240" w:lineRule="auto"/>
        <w:jc w:val="both"/>
        <w:rPr>
          <w:rFonts w:cs="Calibri"/>
          <w:bCs/>
          <w:color w:val="262626" w:themeColor="text1" w:themeTint="D9"/>
          <w:lang w:eastAsia="tr-TR"/>
        </w:rPr>
      </w:pPr>
      <w:r w:rsidRPr="00BC4205">
        <w:rPr>
          <w:rFonts w:cs="Calibri"/>
          <w:bCs/>
          <w:color w:val="262626" w:themeColor="text1" w:themeTint="D9"/>
          <w:lang w:eastAsia="tr-TR"/>
        </w:rPr>
        <w:t>Piyasa Yapıcısı ve ihraççı bilgilerine, BİST ve Kamuyu Aydınlatma Platformu’nun internet sayfalarından ulaşabilirsiniz.</w:t>
      </w:r>
    </w:p>
    <w:p w14:paraId="467805CF" w14:textId="77777777" w:rsidR="00636E11" w:rsidRPr="00BC4205" w:rsidRDefault="00636E11" w:rsidP="00636E11">
      <w:pPr>
        <w:autoSpaceDN w:val="0"/>
        <w:spacing w:before="120" w:after="0" w:line="240" w:lineRule="auto"/>
        <w:jc w:val="both"/>
        <w:rPr>
          <w:rFonts w:cs="Calibri"/>
          <w:bCs/>
          <w:color w:val="262626" w:themeColor="text1" w:themeTint="D9"/>
          <w:lang w:eastAsia="tr-TR"/>
        </w:rPr>
      </w:pPr>
      <w:r w:rsidRPr="00BC4205">
        <w:rPr>
          <w:rFonts w:cs="Calibri"/>
          <w:bCs/>
          <w:color w:val="262626" w:themeColor="text1" w:themeTint="D9"/>
          <w:lang w:eastAsia="tr-TR"/>
        </w:rPr>
        <w:t>Piyasa yapıcılığı sürekli işlem yöntemiyle işlem gören sermaye piyasası araçlarında atanmış bir üye tarafından bu amaçla tanımlanmış hesap veya hesaplar kullanılarak çift taraflı sürekli kotasyon (fiyat ve miktar) verilmek suretiyle o sermaye piyasası aracında likiditenin hedeflendiği bir faaliyettir.</w:t>
      </w:r>
    </w:p>
    <w:p w14:paraId="0583B7AF" w14:textId="77777777" w:rsidR="00636E11" w:rsidRPr="00BC4205" w:rsidRDefault="00636E11" w:rsidP="00636E11">
      <w:pPr>
        <w:spacing w:before="120" w:after="0" w:line="240" w:lineRule="auto"/>
        <w:jc w:val="both"/>
        <w:rPr>
          <w:rFonts w:eastAsia="Times New Roman" w:cs="Calibri"/>
          <w:color w:val="262626" w:themeColor="text1" w:themeTint="D9"/>
          <w:lang w:eastAsia="tr-TR"/>
        </w:rPr>
      </w:pPr>
      <w:r w:rsidRPr="00BC4205">
        <w:rPr>
          <w:rFonts w:eastAsia="Times New Roman" w:cs="Calibri"/>
          <w:bCs/>
          <w:color w:val="262626" w:themeColor="text1" w:themeTint="D9"/>
          <w:lang w:eastAsia="tr-TR"/>
        </w:rPr>
        <w:t xml:space="preserve">“Piyasa Yapıcılı Sürekli İşlem Yöntemi” ve “Tek Fiyat Yöntemi” ile işlem gören paylara </w:t>
      </w:r>
      <w:r w:rsidRPr="00BC4205">
        <w:rPr>
          <w:rFonts w:eastAsia="Times New Roman" w:cs="Calibri"/>
          <w:color w:val="262626" w:themeColor="text1" w:themeTint="D9"/>
          <w:lang w:eastAsia="tr-TR"/>
        </w:rPr>
        <w:t>ilişkin bilgi Borsa Günlük Bülteninde yer alır.</w:t>
      </w:r>
    </w:p>
    <w:p w14:paraId="292A741D" w14:textId="77777777" w:rsidR="00636E11" w:rsidRPr="00BC4205" w:rsidRDefault="00636E11" w:rsidP="00636E11">
      <w:pPr>
        <w:shd w:val="clear" w:color="auto" w:fill="FFFFFF"/>
        <w:spacing w:before="120" w:after="0" w:line="240" w:lineRule="auto"/>
        <w:jc w:val="both"/>
        <w:rPr>
          <w:rFonts w:eastAsia="Times New Roman" w:cs="Calibri"/>
          <w:color w:val="262626" w:themeColor="text1" w:themeTint="D9"/>
          <w:lang w:eastAsia="tr-TR"/>
        </w:rPr>
      </w:pPr>
      <w:r w:rsidRPr="00BC4205">
        <w:rPr>
          <w:rFonts w:eastAsia="Times New Roman" w:cs="Calibri"/>
          <w:color w:val="262626" w:themeColor="text1" w:themeTint="D9"/>
          <w:lang w:eastAsia="tr-TR"/>
        </w:rPr>
        <w:t>Borsa Yatırım Fonlarında piyasa yapıcılık faaliyeti yürütülmesi esastır ve sürekli işlem yöntemi piyasa yapıcılık faaliyeti yürütülmesi durumunda uygulanır. Borsa Yatırım Fonlarında piyasa yapıcının olmaması durumunda ilgili işlem sırasında tek fiyat işlem yöntemi uygulanır.</w:t>
      </w:r>
    </w:p>
    <w:p w14:paraId="5CB55792" w14:textId="77777777" w:rsidR="00636E11" w:rsidRPr="00BC4205" w:rsidRDefault="00636E11" w:rsidP="00636E11">
      <w:pPr>
        <w:shd w:val="clear" w:color="auto" w:fill="FFFFFF"/>
        <w:spacing w:before="120" w:after="0" w:line="240" w:lineRule="auto"/>
        <w:jc w:val="both"/>
        <w:rPr>
          <w:rFonts w:eastAsia="Times New Roman" w:cs="Calibri"/>
          <w:color w:val="262626" w:themeColor="text1" w:themeTint="D9"/>
          <w:lang w:eastAsia="tr-TR"/>
        </w:rPr>
      </w:pPr>
      <w:r w:rsidRPr="00BC4205">
        <w:rPr>
          <w:rFonts w:eastAsia="Times New Roman" w:cs="Calibri"/>
          <w:color w:val="262626" w:themeColor="text1" w:themeTint="D9"/>
          <w:lang w:eastAsia="tr-TR"/>
        </w:rPr>
        <w:lastRenderedPageBreak/>
        <w:t>Yatırım kuruluşu varantları ve sertifikalar sadece piyasa yapıcılı sürekli işlem yöntemiyle işlem görebilir. Söz konusu yatırım araçlarında piyasa yapıcı bulunmaması hâlinde ilgili sıraların işlemleri bir piyasa yapıcı göreve başlayana kadar durdurulur.</w:t>
      </w:r>
    </w:p>
    <w:p w14:paraId="33ED707B" w14:textId="77777777" w:rsidR="00636E11" w:rsidRPr="00BC4205" w:rsidRDefault="00636E11" w:rsidP="00636E11">
      <w:pPr>
        <w:shd w:val="clear" w:color="auto" w:fill="FFFFFF"/>
        <w:spacing w:before="120" w:after="0" w:line="240" w:lineRule="auto"/>
        <w:jc w:val="both"/>
        <w:rPr>
          <w:rFonts w:eastAsia="Times New Roman" w:cs="Calibri"/>
          <w:color w:val="262626" w:themeColor="text1" w:themeTint="D9"/>
          <w:lang w:eastAsia="tr-TR"/>
        </w:rPr>
      </w:pPr>
      <w:r w:rsidRPr="00BC4205">
        <w:rPr>
          <w:rFonts w:eastAsia="Times New Roman" w:cs="Calibri"/>
          <w:color w:val="262626" w:themeColor="text1" w:themeTint="D9"/>
          <w:lang w:eastAsia="tr-TR"/>
        </w:rPr>
        <w:t>Yapılandırılmış Ürünler ve Fon Pazarı’nda sürekli işlem yöntemi ile işlem gören sahipliğe dayalı kira sertifikalarında, gayrimenkul sertifikalarında, gayrimenkul yatırım fonlarında, girişim sermayesi yatırım fonlarında isteğe bağlı olarak piyasa yapıcılık faaliyeti yürütülebilir.</w:t>
      </w:r>
    </w:p>
    <w:p w14:paraId="3700DC80" w14:textId="77777777" w:rsidR="00636E11" w:rsidRPr="00BC4205" w:rsidRDefault="00636E11" w:rsidP="00636E11">
      <w:pPr>
        <w:shd w:val="clear" w:color="auto" w:fill="FFFFFF"/>
        <w:spacing w:before="120" w:after="0" w:line="240" w:lineRule="auto"/>
        <w:jc w:val="both"/>
        <w:rPr>
          <w:rFonts w:eastAsia="Times New Roman" w:cs="Calibri"/>
          <w:color w:val="262626" w:themeColor="text1" w:themeTint="D9"/>
          <w:lang w:eastAsia="tr-TR"/>
        </w:rPr>
      </w:pPr>
      <w:r w:rsidRPr="00BC4205">
        <w:rPr>
          <w:rFonts w:eastAsia="Times New Roman" w:cs="Calibri"/>
          <w:color w:val="262626" w:themeColor="text1" w:themeTint="D9"/>
          <w:lang w:eastAsia="tr-TR"/>
        </w:rPr>
        <w:t xml:space="preserve">GİP, YİP ve </w:t>
      </w:r>
      <w:proofErr w:type="spellStart"/>
      <w:r w:rsidRPr="00BC4205">
        <w:rPr>
          <w:rFonts w:eastAsia="Times New Roman" w:cs="Calibri"/>
          <w:color w:val="262626" w:themeColor="text1" w:themeTint="D9"/>
          <w:lang w:eastAsia="tr-TR"/>
        </w:rPr>
        <w:t>PÖİP’te</w:t>
      </w:r>
      <w:proofErr w:type="spellEnd"/>
      <w:r w:rsidRPr="00BC4205">
        <w:rPr>
          <w:rFonts w:eastAsia="Times New Roman" w:cs="Calibri"/>
          <w:color w:val="262626" w:themeColor="text1" w:themeTint="D9"/>
          <w:lang w:eastAsia="tr-TR"/>
        </w:rPr>
        <w:t xml:space="preserve"> yer alan paylarda piyasa yapıcılık faaliyeti yürütülemez.</w:t>
      </w:r>
    </w:p>
    <w:p w14:paraId="3717EEB8" w14:textId="77777777" w:rsidR="00636E11" w:rsidRPr="00BC4205" w:rsidRDefault="00636E11" w:rsidP="00636E11">
      <w:pPr>
        <w:shd w:val="clear" w:color="auto" w:fill="FFFFFF"/>
        <w:spacing w:before="120" w:after="0" w:line="240" w:lineRule="auto"/>
        <w:jc w:val="both"/>
        <w:rPr>
          <w:rFonts w:eastAsia="Times New Roman" w:cs="Calibri"/>
          <w:color w:val="262626" w:themeColor="text1" w:themeTint="D9"/>
          <w:lang w:eastAsia="tr-TR"/>
        </w:rPr>
      </w:pPr>
      <w:r w:rsidRPr="00BC4205">
        <w:rPr>
          <w:rFonts w:eastAsia="Times New Roman" w:cs="Calibri"/>
          <w:color w:val="262626" w:themeColor="text1" w:themeTint="D9"/>
          <w:lang w:eastAsia="tr-TR"/>
        </w:rPr>
        <w:t>Piyasa yapıcıdan beklenen görev; sürekli müzayede için yeterli derinliği olmayan, halka açık piyasa değeri düşük olan menkul kıymetlerde oluşabilecek kısa süreli arz-talep dengesizlikleri sonucu meydana gelebilecek aşırı fiyat hareketlerini önlemek, piyasaya sürekli likidite sağlamak, böylelikle sürekli müzayede ortamının etkin bir şekilde gelişmesine katkıda bulunmak olarak özetlenebilir.</w:t>
      </w:r>
    </w:p>
    <w:p w14:paraId="2C2DE8FA" w14:textId="77777777" w:rsidR="00636E11" w:rsidRPr="00BC4205" w:rsidRDefault="00636E11" w:rsidP="00636E11">
      <w:pPr>
        <w:shd w:val="clear" w:color="auto" w:fill="FFFFFF"/>
        <w:spacing w:before="120" w:after="0" w:line="240" w:lineRule="auto"/>
        <w:jc w:val="both"/>
        <w:rPr>
          <w:rFonts w:eastAsia="Times New Roman" w:cs="Calibri"/>
          <w:color w:val="262626" w:themeColor="text1" w:themeTint="D9"/>
          <w:lang w:eastAsia="tr-TR"/>
        </w:rPr>
      </w:pPr>
      <w:r w:rsidRPr="00BC4205">
        <w:rPr>
          <w:rFonts w:eastAsia="Times New Roman" w:cs="Calibri"/>
          <w:color w:val="262626" w:themeColor="text1" w:themeTint="D9"/>
          <w:lang w:eastAsia="tr-TR"/>
        </w:rPr>
        <w:t>Bu yöntemle, piyasa yapıcının verdiği alım ve satım kotasyonları ile ilgili menkul kıymetteki fiyat istikrarının sağlanması, piyasa gereği oluşan fiyat hareketleri dışında gerçekleşecek aşırı fiyat oynaklığının doğal olarak engellenmesi hedeflenmektedir. Böylelikle piyasa yapıcısıyla işlem görmekte olan menkul kıymetlerin yatırımcıları tedirgin eden suni fiyat hareketlerinden korunabilmesi öngörülmektedir. Piyasa yapıcı üyenin seans boyunca sistemde yer alacak olan kotasyonları, menkul kıymetin likiditesine yönelik olarak önemli bir güvence oluşturmaktadır.</w:t>
      </w:r>
    </w:p>
    <w:p w14:paraId="784F9A61" w14:textId="77777777" w:rsidR="00636E11" w:rsidRPr="00BC4205" w:rsidRDefault="00636E11" w:rsidP="00636E11">
      <w:pPr>
        <w:shd w:val="clear" w:color="auto" w:fill="FFFFFF"/>
        <w:spacing w:before="120" w:after="0" w:line="240" w:lineRule="auto"/>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Risk Bildirimi</w:t>
      </w:r>
    </w:p>
    <w:p w14:paraId="20E27A18" w14:textId="77777777" w:rsidR="00636E11" w:rsidRPr="00BC4205" w:rsidRDefault="00636E11" w:rsidP="00636E11">
      <w:pPr>
        <w:pStyle w:val="ListeParagraf"/>
        <w:numPr>
          <w:ilvl w:val="0"/>
          <w:numId w:val="14"/>
        </w:numPr>
        <w:spacing w:before="120" w:after="0" w:line="240" w:lineRule="auto"/>
        <w:ind w:left="284" w:hanging="284"/>
        <w:contextualSpacing w:val="0"/>
        <w:jc w:val="both"/>
        <w:rPr>
          <w:rFonts w:cs="Calibri"/>
          <w:bCs/>
          <w:color w:val="262626" w:themeColor="text1" w:themeTint="D9"/>
          <w:lang w:eastAsia="tr-TR"/>
        </w:rPr>
      </w:pPr>
      <w:r w:rsidRPr="00BC4205">
        <w:rPr>
          <w:rFonts w:cs="Calibri"/>
          <w:bCs/>
          <w:color w:val="262626" w:themeColor="text1" w:themeTint="D9"/>
          <w:lang w:eastAsia="tr-TR"/>
        </w:rPr>
        <w:t>Pay Piyasası’nda yapacağınız işlemler sonucunda kar elde edebileceğiniz gibi zarar riskiniz de bulunmaktadır.</w:t>
      </w:r>
      <w:r w:rsidRPr="00BC4205">
        <w:rPr>
          <w:rFonts w:cs="Calibri"/>
          <w:color w:val="262626" w:themeColor="text1" w:themeTint="D9"/>
        </w:rPr>
        <w:t xml:space="preserve"> </w:t>
      </w:r>
      <w:r w:rsidRPr="00BC4205">
        <w:rPr>
          <w:rFonts w:cs="Calibri"/>
          <w:bCs/>
          <w:color w:val="262626" w:themeColor="text1" w:themeTint="D9"/>
          <w:lang w:eastAsia="tr-TR"/>
        </w:rPr>
        <w:t>Piyasada oluşacak fiyat hareketleri sonucunda Yatırım Kuruluşu’na yatırdığınız paranın tümünü kaybedebileceğiniz gibi, kayıplarınız yapacağınız işlemin türüne göre yatırdığınız para tutarını dahi aşabilecektir.</w:t>
      </w:r>
    </w:p>
    <w:p w14:paraId="2B72B221" w14:textId="77777777" w:rsidR="00636E11" w:rsidRPr="00BC4205" w:rsidRDefault="00636E11" w:rsidP="00636E11">
      <w:pPr>
        <w:pStyle w:val="ListeParagraf"/>
        <w:numPr>
          <w:ilvl w:val="0"/>
          <w:numId w:val="14"/>
        </w:numPr>
        <w:spacing w:before="120" w:after="0" w:line="240" w:lineRule="auto"/>
        <w:ind w:left="284" w:hanging="284"/>
        <w:contextualSpacing w:val="0"/>
        <w:jc w:val="both"/>
        <w:rPr>
          <w:rFonts w:cs="Calibri"/>
          <w:bCs/>
          <w:lang w:eastAsia="tr-TR"/>
        </w:rPr>
      </w:pPr>
      <w:r w:rsidRPr="00BC4205">
        <w:rPr>
          <w:rFonts w:cs="Calibri"/>
          <w:bCs/>
          <w:color w:val="262626" w:themeColor="text1" w:themeTint="D9"/>
          <w:lang w:eastAsia="tr-TR"/>
        </w:rPr>
        <w:t xml:space="preserve">Pay Piyasası bünyesindeki platform ve pazarlarda uygulanan işlem kuralları ve işlem yöntemlerinin farklılık gösterebileceğinin, sermaye piyasası araçları farklı platform veya pazarlarda işlem gören ihraççı şirketlerin özelliklerinin ve tabi oldukları yükümlülük ve düzenlemelerin farklı olabileceğinin bilincinde olmalısınız. Yatırım kararı vermeden önce, işlem gerçekleştirmek istediğiniz sermaye piyasası araçları, bunları ihraç eden şirketler ile platform ve pazarlar konusunda bilgi sahibi olmanızı tavsiye etmekteyiz. BİST Pay Piyasası pazarlarına, platformlarına ve bunların işleyiş esaslarına ilişkin bilgilere </w:t>
      </w:r>
      <w:hyperlink r:id="rId12" w:history="1">
        <w:r w:rsidRPr="00BC4205">
          <w:rPr>
            <w:rStyle w:val="Kpr"/>
            <w:rFonts w:cs="Calibri"/>
            <w:lang w:eastAsia="tr-TR"/>
          </w:rPr>
          <w:t>https://borsaistanbul.com/tr/sayfa/506/pazarlar</w:t>
        </w:r>
      </w:hyperlink>
      <w:r w:rsidRPr="00BC4205">
        <w:rPr>
          <w:rFonts w:cs="Calibri"/>
          <w:bCs/>
          <w:lang w:eastAsia="tr-TR"/>
        </w:rPr>
        <w:t xml:space="preserve"> </w:t>
      </w:r>
      <w:r w:rsidRPr="00BC4205">
        <w:rPr>
          <w:rFonts w:cs="Calibri"/>
          <w:bCs/>
          <w:color w:val="262626" w:themeColor="text1" w:themeTint="D9"/>
          <w:lang w:eastAsia="tr-TR"/>
        </w:rPr>
        <w:t>adresinden ulaşabilirsiniz.</w:t>
      </w:r>
    </w:p>
    <w:p w14:paraId="6A28536F" w14:textId="77777777" w:rsidR="00636E11" w:rsidRPr="00BC4205" w:rsidRDefault="00636E11" w:rsidP="00636E11">
      <w:pPr>
        <w:pStyle w:val="ListeParagraf"/>
        <w:numPr>
          <w:ilvl w:val="0"/>
          <w:numId w:val="14"/>
        </w:numPr>
        <w:autoSpaceDN w:val="0"/>
        <w:spacing w:before="120" w:after="0" w:line="240" w:lineRule="auto"/>
        <w:ind w:left="284" w:hanging="284"/>
        <w:contextualSpacing w:val="0"/>
        <w:jc w:val="both"/>
        <w:rPr>
          <w:rFonts w:cs="Calibri"/>
          <w:bCs/>
          <w:color w:val="262626" w:themeColor="text1" w:themeTint="D9"/>
          <w:lang w:eastAsia="tr-TR"/>
        </w:rPr>
      </w:pPr>
      <w:r w:rsidRPr="00BC4205">
        <w:rPr>
          <w:rFonts w:cs="Calibri"/>
          <w:bCs/>
          <w:color w:val="262626" w:themeColor="text1" w:themeTint="D9"/>
          <w:lang w:eastAsia="tr-TR"/>
        </w:rPr>
        <w:t xml:space="preserve">Pay Piyasasında işlem gören sermaye piyasası araçlarının değerleri, genel ekonomik ve siyasi ortam kaynaklı fiyat hareketlerinden, spekülatif ve manipülatif nitelikteki işlemlerden etkilenebilecektir. </w:t>
      </w:r>
    </w:p>
    <w:p w14:paraId="2815B30D" w14:textId="77777777" w:rsidR="00636E11" w:rsidRPr="00BC4205" w:rsidRDefault="00636E11" w:rsidP="00636E11">
      <w:pPr>
        <w:pStyle w:val="ListeParagraf"/>
        <w:numPr>
          <w:ilvl w:val="0"/>
          <w:numId w:val="14"/>
        </w:numPr>
        <w:autoSpaceDN w:val="0"/>
        <w:spacing w:before="120" w:after="0" w:line="240" w:lineRule="auto"/>
        <w:ind w:left="284" w:hanging="284"/>
        <w:contextualSpacing w:val="0"/>
        <w:jc w:val="both"/>
        <w:rPr>
          <w:rFonts w:cs="Calibri"/>
          <w:bCs/>
          <w:color w:val="262626" w:themeColor="text1" w:themeTint="D9"/>
          <w:lang w:eastAsia="tr-TR"/>
        </w:rPr>
      </w:pPr>
      <w:r w:rsidRPr="00BC4205">
        <w:rPr>
          <w:rFonts w:cs="Calibri"/>
          <w:bCs/>
          <w:color w:val="262626" w:themeColor="text1" w:themeTint="D9"/>
          <w:lang w:eastAsia="tr-TR"/>
        </w:rPr>
        <w:t xml:space="preserve">Pay Piyasasında gerçekleştirilen işlemlerde ihraççıdan kaynaklanan karşı taraf riski bulunmaktadır. İşlemlere başlamadan önce, ihraççı şirketin mali durumunun bozulması ve iflası gibi ihtimalleri göz önünde bulundurmalısınız. </w:t>
      </w:r>
    </w:p>
    <w:p w14:paraId="6382B883" w14:textId="77777777" w:rsidR="00636E11" w:rsidRPr="00BC4205" w:rsidRDefault="00636E11" w:rsidP="00636E11">
      <w:pPr>
        <w:pStyle w:val="ListeParagraf"/>
        <w:numPr>
          <w:ilvl w:val="0"/>
          <w:numId w:val="14"/>
        </w:numPr>
        <w:autoSpaceDN w:val="0"/>
        <w:spacing w:before="120" w:after="0" w:line="240" w:lineRule="auto"/>
        <w:ind w:left="284" w:hanging="284"/>
        <w:contextualSpacing w:val="0"/>
        <w:jc w:val="both"/>
        <w:rPr>
          <w:rFonts w:cs="Calibri"/>
          <w:bCs/>
          <w:color w:val="262626" w:themeColor="text1" w:themeTint="D9"/>
          <w:lang w:eastAsia="tr-TR"/>
        </w:rPr>
      </w:pPr>
      <w:r w:rsidRPr="00BC4205">
        <w:rPr>
          <w:rFonts w:cs="Calibri"/>
          <w:bCs/>
          <w:color w:val="262626" w:themeColor="text1" w:themeTint="D9"/>
          <w:lang w:eastAsia="tr-TR"/>
        </w:rPr>
        <w:t>Pay Piyasasında işlem gören sermaye piyasası araçlarının nicelik, nitelik ve diğer özellikleri ile piyasa koşullarına göre oluşacak arz/talep dengesi çerçevesinde likidite riski ile karşı karşıya kalmanız mümkündür.</w:t>
      </w:r>
    </w:p>
    <w:p w14:paraId="28ED5BAC" w14:textId="77777777" w:rsidR="00636E11" w:rsidRPr="00BC4205" w:rsidRDefault="00636E11" w:rsidP="00636E11">
      <w:pPr>
        <w:pStyle w:val="ListeParagraf"/>
        <w:numPr>
          <w:ilvl w:val="0"/>
          <w:numId w:val="14"/>
        </w:numPr>
        <w:autoSpaceDN w:val="0"/>
        <w:spacing w:before="120" w:after="0" w:line="240" w:lineRule="auto"/>
        <w:ind w:left="284" w:hanging="284"/>
        <w:contextualSpacing w:val="0"/>
        <w:jc w:val="both"/>
        <w:rPr>
          <w:rFonts w:cs="Calibri"/>
          <w:bCs/>
          <w:color w:val="262626" w:themeColor="text1" w:themeTint="D9"/>
          <w:lang w:eastAsia="tr-TR"/>
        </w:rPr>
      </w:pPr>
      <w:r w:rsidRPr="00BC4205">
        <w:rPr>
          <w:rFonts w:cs="Calibri"/>
          <w:bCs/>
          <w:color w:val="262626" w:themeColor="text1" w:themeTint="D9"/>
          <w:lang w:eastAsia="tr-TR"/>
        </w:rPr>
        <w:t>BİST Otomatik Seans Durdurma Sistemi sonucu ya da yetkili kurumlar tarafından netleştirmenin kaldırılması kararı alınan pay senetleri ile Piyasa Öncesi İşlem Platformu’nda işlem gören tüm pay senetleri, brüt takas uygulamasına tabidir. Ayrıca yatırımcı bazında da brüt takas uygulanabilir. Aracı kurum ve yatırımcı bazındaki takas alacakları Takasbank tarafından takas süresinden sonra dağıtılmaktadır. Brüt takas uygulaması kapsamına alınan paylarda işlem yapmak istemeniz halinde, takas tarihinde hesabınızda alımlarını karşılayacak tutarda nakit, satımlarını karşılayacak miktarda menkul kıymet bulundurmanız gerekmektedir.</w:t>
      </w:r>
    </w:p>
    <w:p w14:paraId="610B8A6C" w14:textId="77777777" w:rsidR="006E6F6A" w:rsidRDefault="006E6F6A" w:rsidP="00636E11">
      <w:pPr>
        <w:shd w:val="clear" w:color="auto" w:fill="FFFFFF"/>
        <w:spacing w:before="120" w:after="0" w:line="240" w:lineRule="auto"/>
        <w:jc w:val="both"/>
        <w:rPr>
          <w:rFonts w:eastAsia="Times New Roman" w:cs="Calibri"/>
          <w:b/>
          <w:caps/>
          <w:color w:val="262626" w:themeColor="text1" w:themeTint="D9"/>
          <w:u w:val="single"/>
          <w:lang w:eastAsia="tr-TR"/>
        </w:rPr>
      </w:pPr>
    </w:p>
    <w:p w14:paraId="715C0424" w14:textId="77777777" w:rsidR="006E6F6A" w:rsidRDefault="006E6F6A" w:rsidP="00636E11">
      <w:pPr>
        <w:shd w:val="clear" w:color="auto" w:fill="FFFFFF"/>
        <w:spacing w:before="120" w:after="0" w:line="240" w:lineRule="auto"/>
        <w:jc w:val="both"/>
        <w:rPr>
          <w:rFonts w:eastAsia="Times New Roman" w:cs="Calibri"/>
          <w:b/>
          <w:caps/>
          <w:color w:val="262626" w:themeColor="text1" w:themeTint="D9"/>
          <w:u w:val="single"/>
          <w:lang w:eastAsia="tr-TR"/>
        </w:rPr>
      </w:pPr>
    </w:p>
    <w:p w14:paraId="34E2A668" w14:textId="12CA2E39"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lastRenderedPageBreak/>
        <w:t>İşlem Örnekleri</w:t>
      </w:r>
    </w:p>
    <w:p w14:paraId="7616C436" w14:textId="77777777" w:rsidR="00636E11" w:rsidRPr="00BC4205" w:rsidRDefault="00636E11" w:rsidP="00636E11">
      <w:pPr>
        <w:spacing w:before="120" w:after="0" w:line="240" w:lineRule="auto"/>
        <w:jc w:val="both"/>
        <w:rPr>
          <w:rFonts w:eastAsiaTheme="minorHAnsi" w:cs="Calibri"/>
          <w:color w:val="262626" w:themeColor="text1" w:themeTint="D9"/>
        </w:rPr>
      </w:pPr>
      <w:r w:rsidRPr="00BC4205">
        <w:rPr>
          <w:rFonts w:eastAsiaTheme="minorHAnsi" w:cs="Calibri"/>
          <w:b/>
          <w:color w:val="262626" w:themeColor="text1" w:themeTint="D9"/>
        </w:rPr>
        <w:t>Bedelsiz Sermaye Artırımı:</w:t>
      </w:r>
      <w:r w:rsidRPr="00BC4205">
        <w:rPr>
          <w:rFonts w:eastAsiaTheme="minorHAnsi" w:cs="Calibri"/>
          <w:color w:val="262626" w:themeColor="text1" w:themeTint="D9"/>
        </w:rPr>
        <w:t xml:space="preserve"> Şirketlerin kendi iç kaynaklarını kullanarak yapmış oldukları ve ortaklarından ilave ek kaynak talep edilmeden, bedelsiz olarak pay senedi dağıtılan sermaye artırım türüdür. Şirketlerin sermayeleri bedelsiz artırıldığında, sermaye artırımına gidilen günden iki iş günü sonrasında pay senetleri hesaplara otomatik olarak yansıtılır(T+2). </w:t>
      </w:r>
    </w:p>
    <w:p w14:paraId="6272430D"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Örneğin; A Şirketinin ödenmiş sermayesinin 200 milyon TL (nominal), öz sermayesinin 500 milyon TL, piyasa değerinin 1.000 milyon TL olduğunu düşünelim. </w:t>
      </w:r>
    </w:p>
    <w:p w14:paraId="5483383E"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A şirketinin hisselerinin fiyatı: 1.000 milyon / 200 milyon= 5 TL’dir. </w:t>
      </w:r>
    </w:p>
    <w:p w14:paraId="4911794A"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A şirketinin, kendi iç kaynaklarından %25 oranında bedelsiz sermaye artırımına gitmesi durumunda, şirketin ödenmiş sermayesi 200 milyondan 250 milyona çıkacaktır. Şirket hisselerine sahip olan ortaklara ellerinde bulunan her 100 adet pay senedi için, 25 adet pay senedi ücretsiz dağıtılacaktır. Bedelsiz sermaye artırımında şirketin öz sermayesi ve piyasa değeri değişmeyecektir. Bedelsiz Sermaye artırımının gerçekleştiği ve hissenin bölündüğü gün: A hissesinin 5 TL olan fiyatı=5/(1+0,25)= 4 TL olacaktır. </w:t>
      </w:r>
    </w:p>
    <w:p w14:paraId="3E66F2C3"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Şirketin piyasa Değeri= 250 milyon * 4 TL= 1.000 milyon TL olarak sabit kalacaktır. </w:t>
      </w:r>
    </w:p>
    <w:p w14:paraId="0E7BE561"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Bu işlem sonucunda; Şirketin bedelsiz sermaye artırımına gitmesi ile hisselere sahip olan ortaklara bedelsiz hisse senedi gelecek ve şirketin piyasada işlem gören hisselerinin fiyatı düşecektir. Şirketin öz sermayesi ile piyasa değerinde bir değişiklik olmayacaktır. Yalnızca şirketin ödenmiş sermayesi artırılacaktır. </w:t>
      </w:r>
    </w:p>
    <w:p w14:paraId="421B791A"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b/>
          <w:color w:val="262626" w:themeColor="text1" w:themeTint="D9"/>
        </w:rPr>
        <w:t xml:space="preserve">Temettü (Kar Payı) Ödemesi: </w:t>
      </w:r>
      <w:r w:rsidRPr="00BC4205">
        <w:rPr>
          <w:rFonts w:eastAsiaTheme="minorHAnsi" w:cs="Calibri"/>
          <w:color w:val="262626" w:themeColor="text1" w:themeTint="D9"/>
        </w:rPr>
        <w:t>B Şirketinin açıkladığı temettü ödeme oranı %50, hissenin en son ağırlıklı ortalama fiyatı 5 TL, yatırımcının elinde bulunan hisse adedi 1.000 adet.</w:t>
      </w:r>
    </w:p>
    <w:p w14:paraId="3301C37F"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Temettü hesaplaması yapılırken, hisse senetleri nominal değer ile ölçülmektedir. </w:t>
      </w:r>
      <w:proofErr w:type="spellStart"/>
      <w:r w:rsidRPr="00BC4205">
        <w:rPr>
          <w:rFonts w:eastAsiaTheme="minorHAnsi" w:cs="Calibri"/>
          <w:color w:val="262626" w:themeColor="text1" w:themeTint="D9"/>
        </w:rPr>
        <w:t>BİST’de</w:t>
      </w:r>
      <w:proofErr w:type="spellEnd"/>
      <w:r w:rsidRPr="00BC4205">
        <w:rPr>
          <w:rFonts w:eastAsiaTheme="minorHAnsi" w:cs="Calibri"/>
          <w:color w:val="262626" w:themeColor="text1" w:themeTint="D9"/>
        </w:rPr>
        <w:t xml:space="preserve"> nominal değer 1 TL olarak belirlenmiştir. Bu durumda yatırımcı 1 TL için 5o kuruş temettü alacaktır. </w:t>
      </w:r>
    </w:p>
    <w:p w14:paraId="65B5ABF0"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Yatırımcının 1.000 adet hissesi olduğu için, yatırımcının alacağı temettü ödemesi=1.000 TL*0,50=500 TL olacaktır. </w:t>
      </w:r>
    </w:p>
    <w:p w14:paraId="0591F700"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Hisse senedinin temettü ödemesi sonrasında fiyatı 5.00 TL- 0,50 TL= 4,50 TL olacaktır. </w:t>
      </w:r>
    </w:p>
    <w:p w14:paraId="4BBD6230"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b/>
          <w:color w:val="262626" w:themeColor="text1" w:themeTint="D9"/>
        </w:rPr>
        <w:t xml:space="preserve">Bedelli Sermaye Artırımı: </w:t>
      </w:r>
      <w:r w:rsidRPr="00BC4205">
        <w:rPr>
          <w:rFonts w:eastAsiaTheme="minorHAnsi" w:cs="Calibri"/>
          <w:color w:val="262626" w:themeColor="text1" w:themeTint="D9"/>
        </w:rPr>
        <w:t xml:space="preserve">Bir şirketin esas sermayesine karşılık olan pay senetlerinin bedelleri ödendikten sonra, yeni pay çıkarılarak şirket sermayesinin artırılmasıdır. Bedelli sermaye artırımlarında mevcut ortaklar talep ederlerse ihraç edilecek paylardan alma haklarını yani rüçhan haklarını kullanırlar. Bedelli sermaye artırımına katılmak istemeyen ortaklar rüçhan haklarını borsada satabilirler. </w:t>
      </w:r>
    </w:p>
    <w:p w14:paraId="3B6CA534"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Örneğin; C Şirketinin ödenmiş sermayesi 200.000 TL, öz sermayesi 500.000 TL, piyasa değeri: 1.000.000 TL.</w:t>
      </w:r>
    </w:p>
    <w:p w14:paraId="520A8698"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C Hisse Fiyatı: 1.000.000 TL/ 200.000 TL= 5 TL’dir.</w:t>
      </w:r>
    </w:p>
    <w:p w14:paraId="78DA52BA"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C Şirketi, pay başına 3 TL fiyattan % 50 oranında bedelli sermaye artırımı yapma kararı almıştır. Bu durumda, şirketin ödenmiş sermayesi 200.000’den 300.000’e çıkacaktır. Şirketin öz sermayesi 500.000+(3*200.000*0,50)= 800.000 TL’ye çıkacaktır. </w:t>
      </w:r>
    </w:p>
    <w:p w14:paraId="6AA49DC8"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Elinde 100 lot C payı olan ve sermaye artırımına katılacak isteyen ortaklar, sermaye artırımı %50 olduğu için (100 adet *0,50)=50 adet rüçhan hakkı elde edecektir. Yeni rüçhan paylarının fiyatı 3 TL olduğundan, 150 TL bedel ödeyecektir. Toplamda ortağın payı 100+50=150 adet olacaktır. </w:t>
      </w:r>
    </w:p>
    <w:p w14:paraId="4845F75E"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Bedelli sermaye artırımı sonrasında pay fiyatı: (5*200.000 + 3*100.000)/300.000=4,33 TL </w:t>
      </w:r>
    </w:p>
    <w:p w14:paraId="3F2FB8B3"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C Şirketinin piyasa değeri: 4,33*300.000=1.299.000 TL’dir. </w:t>
      </w:r>
    </w:p>
    <w:p w14:paraId="24CD85EB" w14:textId="77777777" w:rsidR="00636E11" w:rsidRPr="00BC4205" w:rsidRDefault="00636E11" w:rsidP="00636E11">
      <w:pPr>
        <w:autoSpaceDE w:val="0"/>
        <w:autoSpaceDN w:val="0"/>
        <w:adjustRightInd w:val="0"/>
        <w:spacing w:before="120" w:after="0" w:line="240" w:lineRule="auto"/>
        <w:jc w:val="both"/>
        <w:rPr>
          <w:rFonts w:eastAsiaTheme="minorHAnsi" w:cs="Calibri"/>
          <w:b/>
          <w:color w:val="262626" w:themeColor="text1" w:themeTint="D9"/>
        </w:rPr>
      </w:pPr>
      <w:r w:rsidRPr="00BC4205">
        <w:rPr>
          <w:rFonts w:eastAsiaTheme="minorHAnsi" w:cs="Calibri"/>
          <w:b/>
          <w:color w:val="262626" w:themeColor="text1" w:themeTint="D9"/>
        </w:rPr>
        <w:lastRenderedPageBreak/>
        <w:t xml:space="preserve">Sermaye Azaltımı: </w:t>
      </w:r>
      <w:r w:rsidRPr="00BC4205">
        <w:rPr>
          <w:rFonts w:eastAsiaTheme="minorHAnsi" w:cs="Calibri"/>
          <w:color w:val="262626" w:themeColor="text1" w:themeTint="D9"/>
        </w:rPr>
        <w:t>Şirket esas sözleşmesinde yazılı olan sermayenin toplam itibari değerinin rakamsal olarak azaltılmasıdır. Sermaye azaltımı, payların itibari değerinin düşürülmesi ya da pay sayılarının azaltılması yani payların birleştirilmesi veya yok edilmesidir.</w:t>
      </w:r>
      <w:r w:rsidRPr="00BC4205">
        <w:rPr>
          <w:rFonts w:eastAsiaTheme="minorHAnsi" w:cs="Calibri"/>
          <w:b/>
          <w:color w:val="262626" w:themeColor="text1" w:themeTint="D9"/>
        </w:rPr>
        <w:t xml:space="preserve"> </w:t>
      </w:r>
    </w:p>
    <w:p w14:paraId="7B974882"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 xml:space="preserve">Örneğin; D şirketi 100.000 TL olan ödenmiş sermayesini 80.000 TL ye azaltılması kararı almıştır ve bu azaltım işlemlerine 10 Ocak tarihinde başlayacaktır. Şirketin paylarının 9 Ocak tarihindeki ağırlıklı ortalama fiyatı 1,40 TL’dir. </w:t>
      </w:r>
    </w:p>
    <w:p w14:paraId="75C58FA5" w14:textId="77777777" w:rsidR="00636E11" w:rsidRPr="00BC4205" w:rsidRDefault="00636E11" w:rsidP="00636E11">
      <w:pPr>
        <w:autoSpaceDE w:val="0"/>
        <w:autoSpaceDN w:val="0"/>
        <w:adjustRightInd w:val="0"/>
        <w:spacing w:before="120" w:after="0" w:line="240" w:lineRule="auto"/>
        <w:jc w:val="both"/>
        <w:rPr>
          <w:rFonts w:eastAsiaTheme="minorHAnsi" w:cs="Calibri"/>
          <w:color w:val="262626" w:themeColor="text1" w:themeTint="D9"/>
        </w:rPr>
      </w:pPr>
      <w:r w:rsidRPr="00BC4205">
        <w:rPr>
          <w:rFonts w:eastAsiaTheme="minorHAnsi" w:cs="Calibri"/>
          <w:color w:val="262626" w:themeColor="text1" w:themeTint="D9"/>
        </w:rPr>
        <w:t>D şirketinin sermaye azaltımı sonrası teorik fiyatı hesaplaması şu şekilde yapılacaktır: = (100.000*1,40) / 80.000 = 1,75 TL</w:t>
      </w:r>
    </w:p>
    <w:p w14:paraId="3724A6DA" w14:textId="77777777" w:rsidR="00636E11" w:rsidRPr="00BC4205" w:rsidRDefault="00636E11" w:rsidP="0090157D">
      <w:pPr>
        <w:pStyle w:val="Balk1"/>
        <w:jc w:val="center"/>
        <w:rPr>
          <w:rFonts w:ascii="Calibri" w:hAnsi="Calibri" w:cs="Calibri"/>
          <w:b/>
          <w:bCs/>
          <w:color w:val="auto"/>
          <w:sz w:val="24"/>
          <w:szCs w:val="24"/>
        </w:rPr>
      </w:pPr>
      <w:bookmarkStart w:id="5" w:name="_BORSA_İSTANBUL_A.Ş."/>
      <w:bookmarkEnd w:id="5"/>
      <w:r w:rsidRPr="00BC4205">
        <w:rPr>
          <w:rFonts w:ascii="Calibri" w:hAnsi="Calibri" w:cs="Calibri"/>
          <w:b/>
          <w:bCs/>
          <w:color w:val="auto"/>
          <w:sz w:val="24"/>
          <w:szCs w:val="24"/>
        </w:rPr>
        <w:t>BORSA İSTANBUL A.Ş. (BIST) ALT PAZAR, YAKIN İZLEME PAZARI (YİP) VE PİYASA ÖNCESİ İŞLEM PLATFORMUNDA (PÖİP) İŞLEM GÖREN PAYLARA İLİŞKİN YATIRIMCI BİLGİLENDİRMESİ</w:t>
      </w:r>
    </w:p>
    <w:p w14:paraId="1421C10E" w14:textId="77777777" w:rsidR="00636E11" w:rsidRPr="00BC4205" w:rsidRDefault="00636E11" w:rsidP="00636E11">
      <w:pPr>
        <w:pStyle w:val="NormalWeb"/>
        <w:shd w:val="clear" w:color="auto" w:fill="FFFFFF"/>
        <w:spacing w:before="120" w:beforeAutospacing="0" w:after="0" w:afterAutospacing="0"/>
        <w:jc w:val="both"/>
        <w:textAlignment w:val="baseline"/>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Borsa İstanbul Alt Pazar, Yakın İzleme Pazarı (YİP) ve/veya Piyasa Öncesi İşlem Platformunda (PÖİP) işlem gören paylarda vereceğiniz ilk emir öncesinde, aşağıdaki olası riskler konusunda bilgi edinmeniz ve bilgilendirme metinlerinin tarafınızdan okunup anlaşıldığını beyan etmeniz gerekmektedir. Bu pazarlarda işlem gören paylar için vereceğiniz müteakip emirlerde de söz konusu risk bildirimleri tarafınıza elektronik işlem platformları üzerinden sunulacak ve/veya müşteri temsilcileri tarafından hatırlatılacaktır.</w:t>
      </w:r>
    </w:p>
    <w:p w14:paraId="6DF7F0FA" w14:textId="77777777" w:rsidR="00636E11" w:rsidRPr="00BC4205" w:rsidRDefault="00636E11" w:rsidP="0090157D">
      <w:pPr>
        <w:pStyle w:val="Balk1"/>
        <w:jc w:val="center"/>
        <w:rPr>
          <w:rFonts w:ascii="Calibri" w:hAnsi="Calibri" w:cs="Calibri"/>
          <w:b/>
          <w:bCs/>
          <w:color w:val="auto"/>
          <w:sz w:val="24"/>
          <w:szCs w:val="24"/>
        </w:rPr>
      </w:pPr>
      <w:bookmarkStart w:id="6" w:name="_BORSA_İSTANBUL_A.Ş._1"/>
      <w:bookmarkEnd w:id="6"/>
      <w:r w:rsidRPr="00BC4205">
        <w:rPr>
          <w:rFonts w:ascii="Calibri" w:hAnsi="Calibri" w:cs="Calibri"/>
          <w:b/>
          <w:bCs/>
          <w:color w:val="auto"/>
          <w:sz w:val="24"/>
          <w:szCs w:val="24"/>
        </w:rPr>
        <w:t>BORSA İSTANBUL A.Ş. (BIST) ALT PAZAR RİSK BİLDİRİM FORMU</w:t>
      </w:r>
    </w:p>
    <w:p w14:paraId="5BE49E2E" w14:textId="77777777" w:rsidR="00636E11" w:rsidRPr="00BC4205" w:rsidRDefault="00636E11" w:rsidP="00636E11">
      <w:pPr>
        <w:shd w:val="clear" w:color="auto" w:fill="FFFFFF"/>
        <w:spacing w:before="240" w:after="0" w:line="240" w:lineRule="auto"/>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 Önemli Açıklama</w:t>
      </w:r>
    </w:p>
    <w:p w14:paraId="6C95322F" w14:textId="588B7D3C" w:rsidR="00636E11" w:rsidRPr="00BC4205" w:rsidRDefault="00636E11" w:rsidP="00636E11">
      <w:pPr>
        <w:pStyle w:val="NormalWeb"/>
        <w:shd w:val="clear" w:color="auto" w:fill="FFFFFF"/>
        <w:spacing w:before="120" w:beforeAutospacing="0" w:after="0" w:afterAutospacing="0"/>
        <w:ind w:right="50"/>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 xml:space="preserve"> İşlem yapmak istediğiniz payın yer aldığı Alt Pazar paylarında, derinliğin/</w:t>
      </w:r>
      <w:r w:rsidR="00F5622D" w:rsidRPr="00BC4205">
        <w:rPr>
          <w:rFonts w:ascii="Calibri" w:hAnsi="Calibri" w:cs="Calibri"/>
          <w:color w:val="262626" w:themeColor="text1" w:themeTint="D9"/>
          <w:sz w:val="22"/>
          <w:szCs w:val="22"/>
          <w:bdr w:val="none" w:sz="0" w:space="0" w:color="auto" w:frame="1"/>
          <w:lang w:val="tr-TR"/>
        </w:rPr>
        <w:t>likiditenin</w:t>
      </w:r>
      <w:r w:rsidRPr="00BC4205">
        <w:rPr>
          <w:rFonts w:ascii="Calibri" w:hAnsi="Calibri" w:cs="Calibri"/>
          <w:color w:val="262626" w:themeColor="text1" w:themeTint="D9"/>
          <w:sz w:val="22"/>
          <w:szCs w:val="22"/>
          <w:bdr w:val="none" w:sz="0" w:space="0" w:color="auto" w:frame="1"/>
          <w:lang w:val="tr-TR"/>
        </w:rPr>
        <w:t xml:space="preserve"> sınırlı olabileceği dolayısıyla aşağı/yukarı yönlü sert fiyat hareketleri ihtimalinin daha yüksek olabileceğini dikkate alarak piyasa risklerinin net bir şekilde farkında olunması, bu riskler değerlendirilerek işlem yapılması ve fiyat riskinin sınırlandırılabilmesi için alım-satım emirlerinin mümkün olduğu kadar limit fiyatlı emir şeklinde iletilmesi hususları önemle dikkatlerinize sunulur.</w:t>
      </w:r>
    </w:p>
    <w:p w14:paraId="32B32F5C" w14:textId="77777777" w:rsidR="00636E11" w:rsidRPr="00BC4205" w:rsidRDefault="00636E11" w:rsidP="00636E11">
      <w:pPr>
        <w:pStyle w:val="NormalWeb"/>
        <w:shd w:val="clear" w:color="auto" w:fill="FFFFFF"/>
        <w:spacing w:before="120" w:beforeAutospacing="0" w:after="0" w:afterAutospacing="0"/>
        <w:ind w:right="50"/>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 xml:space="preserve">BIST Alt Pazar Paylarında işlem yapılması bazı özel risk unsurlarını barındırmakta ve yüksek bir yatırım riski taşımaktadır. </w:t>
      </w:r>
    </w:p>
    <w:p w14:paraId="1F2CA0AF"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RİSK BİLDİRİMİ</w:t>
      </w:r>
    </w:p>
    <w:p w14:paraId="0E1D1F43" w14:textId="77777777" w:rsidR="00636E11" w:rsidRPr="00BC4205" w:rsidRDefault="00636E11" w:rsidP="00636E11">
      <w:pPr>
        <w:pStyle w:val="NormalWeb"/>
        <w:shd w:val="clear" w:color="auto" w:fill="FFFFFF"/>
        <w:spacing w:before="120" w:beforeAutospacing="0" w:after="0" w:afterAutospacing="0"/>
        <w:ind w:right="51"/>
        <w:rPr>
          <w:rFonts w:ascii="Calibri" w:hAnsi="Calibri" w:cs="Calibri"/>
          <w:b/>
          <w:color w:val="262626" w:themeColor="text1" w:themeTint="D9"/>
          <w:sz w:val="22"/>
          <w:szCs w:val="22"/>
          <w:bdr w:val="none" w:sz="0" w:space="0" w:color="auto" w:frame="1"/>
          <w:lang w:val="tr-TR"/>
        </w:rPr>
      </w:pPr>
      <w:r w:rsidRPr="00BC4205">
        <w:rPr>
          <w:rFonts w:ascii="Calibri" w:hAnsi="Calibri" w:cs="Calibri"/>
          <w:b/>
          <w:color w:val="262626" w:themeColor="text1" w:themeTint="D9"/>
          <w:sz w:val="22"/>
          <w:szCs w:val="22"/>
          <w:bdr w:val="none" w:sz="0" w:space="0" w:color="auto" w:frame="1"/>
          <w:lang w:val="tr-TR"/>
        </w:rPr>
        <w:t>(YATIRIMCILAR İÇİN BIST ALT PAZAR İŞLEMLERİ HAKKINDA GENEL AÇIKLAMALAR)</w:t>
      </w:r>
    </w:p>
    <w:p w14:paraId="0E44FDF9" w14:textId="77777777" w:rsidR="00636E11" w:rsidRPr="00BC4205" w:rsidRDefault="00636E11" w:rsidP="00636E11">
      <w:pPr>
        <w:pStyle w:val="NormalWeb"/>
        <w:numPr>
          <w:ilvl w:val="0"/>
          <w:numId w:val="1"/>
        </w:numPr>
        <w:shd w:val="clear" w:color="auto" w:fill="FFFFFF"/>
        <w:tabs>
          <w:tab w:val="left" w:pos="426"/>
        </w:tabs>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Yatırım Kuruluşu nezdinde açtırdığım ve/veya açtıracağım hesaplar üzerinden BIST Alt Pazar’da gerçekleştirilecek tüm işlemlerin SPK, BIST ve diğer sermaye piyasası kuruluşları tarafından çıkartılan ilgili her türlü mevzuat ve benzeri tüm düzenleme hükümlerine tabi olacağının,</w:t>
      </w:r>
    </w:p>
    <w:p w14:paraId="07CFE884" w14:textId="77777777" w:rsidR="00636E11" w:rsidRPr="00BC4205" w:rsidRDefault="00636E11" w:rsidP="00636E11">
      <w:pPr>
        <w:pStyle w:val="NormalWeb"/>
        <w:numPr>
          <w:ilvl w:val="0"/>
          <w:numId w:val="1"/>
        </w:numPr>
        <w:shd w:val="clear" w:color="auto" w:fill="FFFFFF"/>
        <w:tabs>
          <w:tab w:val="left" w:pos="426"/>
        </w:tabs>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BIST Alt Pazar’ın, BIST Yıldız Pazar ve Ana Pazar’dan farklı bir Pazar olarak organize edildiğinin, BIST Alt Pazar’da gerçekleşecek işlem kurallarının ve uygulanan işlem yöntemlerinin BIST Yıldız Pazar ve Ana Pazar ile benzerlikler gösterebileceği gibi farklılıklar da gösterebileceğinin,</w:t>
      </w:r>
    </w:p>
    <w:p w14:paraId="4E17C620" w14:textId="77777777" w:rsidR="00636E11" w:rsidRPr="00BC4205" w:rsidRDefault="00636E11" w:rsidP="00636E11">
      <w:pPr>
        <w:pStyle w:val="NormalWeb"/>
        <w:numPr>
          <w:ilvl w:val="0"/>
          <w:numId w:val="1"/>
        </w:numPr>
        <w:shd w:val="clear" w:color="auto" w:fill="FFFFFF"/>
        <w:tabs>
          <w:tab w:val="left" w:pos="426"/>
        </w:tabs>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BIST Pay Piyasası Pazarlarında açığa satış ve kredili işlem, brüt takas, öz kaynak oranı, açık takas pozisyonu gibi işlem esaslarının Alt Pazar işlemlerinde değişiklik gösterdiğinin,</w:t>
      </w:r>
    </w:p>
    <w:p w14:paraId="01189FFB" w14:textId="77777777" w:rsidR="00636E11" w:rsidRPr="00BC4205" w:rsidRDefault="00636E11" w:rsidP="00636E11">
      <w:pPr>
        <w:pStyle w:val="NormalWeb"/>
        <w:numPr>
          <w:ilvl w:val="0"/>
          <w:numId w:val="1"/>
        </w:numPr>
        <w:shd w:val="clear" w:color="auto" w:fill="FFFFFF"/>
        <w:tabs>
          <w:tab w:val="left" w:pos="426"/>
        </w:tabs>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 xml:space="preserve">Bu nedenler ile bu şirketlere yatırım yapmanın her durumda riskli olduğunun tarafımca bilindiğini, BIST Alt Pazar Risk Bildirim </w:t>
      </w:r>
      <w:proofErr w:type="spellStart"/>
      <w:r w:rsidRPr="00BC4205">
        <w:rPr>
          <w:rFonts w:ascii="Calibri" w:hAnsi="Calibri" w:cs="Calibri"/>
          <w:color w:val="262626" w:themeColor="text1" w:themeTint="D9"/>
          <w:sz w:val="22"/>
          <w:szCs w:val="22"/>
          <w:bdr w:val="none" w:sz="0" w:space="0" w:color="auto" w:frame="1"/>
          <w:lang w:val="tr-TR"/>
        </w:rPr>
        <w:t>Formu’nu</w:t>
      </w:r>
      <w:proofErr w:type="spellEnd"/>
      <w:r w:rsidRPr="00BC4205">
        <w:rPr>
          <w:rFonts w:ascii="Calibri" w:hAnsi="Calibri" w:cs="Calibri"/>
          <w:color w:val="262626" w:themeColor="text1" w:themeTint="D9"/>
          <w:sz w:val="22"/>
          <w:szCs w:val="22"/>
          <w:bdr w:val="none" w:sz="0" w:space="0" w:color="auto" w:frame="1"/>
          <w:lang w:val="tr-TR"/>
        </w:rPr>
        <w:t xml:space="preserve"> okuyup anladığımı, özgür iradem sonucu imzaladığımı, kabul, beyan ve taahhüt ederim. </w:t>
      </w:r>
    </w:p>
    <w:p w14:paraId="28BE184E" w14:textId="77777777" w:rsidR="00636E11" w:rsidRPr="00BC4205" w:rsidRDefault="00636E11" w:rsidP="0090157D">
      <w:pPr>
        <w:pStyle w:val="Balk1"/>
        <w:jc w:val="center"/>
        <w:rPr>
          <w:rFonts w:ascii="Calibri" w:hAnsi="Calibri" w:cs="Calibri"/>
          <w:b/>
          <w:bCs/>
          <w:color w:val="auto"/>
          <w:sz w:val="24"/>
          <w:szCs w:val="24"/>
        </w:rPr>
      </w:pPr>
      <w:bookmarkStart w:id="7" w:name="_YAKIN_İZLEME_PAZARI"/>
      <w:bookmarkStart w:id="8" w:name="_Toc115441226"/>
      <w:bookmarkEnd w:id="7"/>
      <w:r w:rsidRPr="00BC4205">
        <w:rPr>
          <w:rFonts w:ascii="Calibri" w:hAnsi="Calibri" w:cs="Calibri"/>
          <w:b/>
          <w:bCs/>
          <w:color w:val="auto"/>
          <w:sz w:val="24"/>
          <w:szCs w:val="24"/>
        </w:rPr>
        <w:lastRenderedPageBreak/>
        <w:t>YAKIN İZLEME PAZARI (YİP) RİSK BİLDİRİM FORMU</w:t>
      </w:r>
      <w:bookmarkEnd w:id="8"/>
    </w:p>
    <w:p w14:paraId="1FB7440D" w14:textId="77777777" w:rsidR="00636E11" w:rsidRPr="00BC4205" w:rsidRDefault="00636E11" w:rsidP="00636E11">
      <w:pPr>
        <w:pStyle w:val="NormalWeb"/>
        <w:shd w:val="clear" w:color="auto" w:fill="FFFFFF"/>
        <w:spacing w:before="120" w:beforeAutospacing="0" w:after="0" w:afterAutospacing="0"/>
        <w:ind w:right="51"/>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Dinamik Yatırım Menkul Değerler A.Ş. ile yaptığınız Sermaye Piyasası İşlemleri Çerçeve Sözleşmesi’nde belirtilen hususlara ek olarak:</w:t>
      </w:r>
    </w:p>
    <w:p w14:paraId="54BA7249" w14:textId="77777777" w:rsidR="00636E11" w:rsidRPr="00BC4205" w:rsidRDefault="00636E11" w:rsidP="00636E11">
      <w:pPr>
        <w:pStyle w:val="NormalWeb"/>
        <w:shd w:val="clear" w:color="auto" w:fill="FFFFFF"/>
        <w:spacing w:before="120" w:beforeAutospacing="0" w:after="0" w:afterAutospacing="0"/>
        <w:ind w:right="51"/>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İşlem yapmak istediğiniz payın yer aldığı Yakın İzleme Pazarı’nda;</w:t>
      </w:r>
    </w:p>
    <w:p w14:paraId="0FBF4EA0" w14:textId="77777777" w:rsidR="00636E11" w:rsidRPr="00BC4205" w:rsidRDefault="00636E11" w:rsidP="00636E11">
      <w:pPr>
        <w:pStyle w:val="NormalWeb"/>
        <w:numPr>
          <w:ilvl w:val="0"/>
          <w:numId w:val="12"/>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Derinliğin/likiditenin sınırlı olabileceği, dolayısıyla aşağı/yukarı yönlü fiyat hareketleri ihtimalinin daha yüksek olabileceği,</w:t>
      </w:r>
    </w:p>
    <w:p w14:paraId="393801BA" w14:textId="77777777" w:rsidR="00636E11" w:rsidRPr="00BC4205" w:rsidRDefault="00636E11" w:rsidP="00636E11">
      <w:pPr>
        <w:pStyle w:val="NormalWeb"/>
        <w:numPr>
          <w:ilvl w:val="0"/>
          <w:numId w:val="12"/>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İşlem gören payların Borsa tarafından yakından takip edildiği ve bu sebeple KAP ’ta ilan edilen finansal tablolar, açıklamalar ve Borsa ve SPK duyuruları</w:t>
      </w:r>
    </w:p>
    <w:p w14:paraId="34A71FDA" w14:textId="77777777" w:rsidR="00636E11" w:rsidRPr="00BC4205" w:rsidRDefault="00636E11" w:rsidP="00636E11">
      <w:pPr>
        <w:pStyle w:val="NormalWeb"/>
        <w:shd w:val="clear" w:color="auto" w:fill="FFFFFF"/>
        <w:spacing w:before="120" w:beforeAutospacing="0" w:after="0" w:afterAutospacing="0"/>
        <w:ind w:right="51"/>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dikkate alınarak piyasa risklerinin net bir şekilde farkında olunması, bu riskler değerlendirilerek işlem yapılması ve fiyat riskinin sınırlandırılabilmesi için alım-satım emirlerinin mümkün olduğu kadar limit fiyatlı emir şeklinde iletilmesi hususları önemle dikkatlerinize sunulur.</w:t>
      </w:r>
    </w:p>
    <w:p w14:paraId="0A7DBB86"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RİSK BİLDİRİMİ</w:t>
      </w:r>
    </w:p>
    <w:p w14:paraId="148FC88B" w14:textId="77777777" w:rsidR="00636E11" w:rsidRPr="00BC4205" w:rsidRDefault="00636E11" w:rsidP="00636E11">
      <w:pPr>
        <w:pStyle w:val="NormalWeb"/>
        <w:shd w:val="clear" w:color="auto" w:fill="FFFFFF"/>
        <w:spacing w:before="0" w:beforeAutospacing="0" w:after="0" w:afterAutospacing="0"/>
        <w:ind w:right="51"/>
        <w:jc w:val="both"/>
        <w:rPr>
          <w:rFonts w:ascii="Calibri" w:hAnsi="Calibri" w:cs="Calibri"/>
          <w:b/>
          <w:color w:val="262626" w:themeColor="text1" w:themeTint="D9"/>
          <w:sz w:val="22"/>
          <w:szCs w:val="22"/>
          <w:bdr w:val="none" w:sz="0" w:space="0" w:color="auto" w:frame="1"/>
          <w:lang w:val="tr-TR"/>
        </w:rPr>
      </w:pPr>
      <w:r w:rsidRPr="00BC4205">
        <w:rPr>
          <w:rFonts w:ascii="Calibri" w:hAnsi="Calibri" w:cs="Calibri"/>
          <w:b/>
          <w:color w:val="262626" w:themeColor="text1" w:themeTint="D9"/>
          <w:sz w:val="22"/>
          <w:szCs w:val="22"/>
          <w:bdr w:val="none" w:sz="0" w:space="0" w:color="auto" w:frame="1"/>
          <w:lang w:val="tr-TR"/>
        </w:rPr>
        <w:t>(YATIRIMCILAR İÇİN BIST YAKIN İZLEME PAZARI (YİP) İŞLEMLERİ HAKKINDA GENEL AÇIKLAMALAR)</w:t>
      </w:r>
    </w:p>
    <w:p w14:paraId="6B0D2D32" w14:textId="77777777" w:rsidR="00636E11" w:rsidRPr="00BC4205" w:rsidRDefault="00636E11" w:rsidP="00636E11">
      <w:pPr>
        <w:pStyle w:val="NormalWeb"/>
        <w:shd w:val="clear" w:color="auto" w:fill="FFFFFF"/>
        <w:spacing w:before="120" w:beforeAutospacing="0" w:after="0" w:afterAutospacing="0"/>
        <w:ind w:right="51"/>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Dinamik Yatırım Menkul Değerler A.Ş. ile yaptığım Sermaye Piyasası İşlemleri Çerçeve Sözleşmesi’nde belirtilen hususlara ek olarak;</w:t>
      </w:r>
    </w:p>
    <w:p w14:paraId="738BD9E9" w14:textId="77777777" w:rsidR="00636E11" w:rsidRPr="00BC4205" w:rsidRDefault="00636E11" w:rsidP="00636E11">
      <w:pPr>
        <w:pStyle w:val="NormalWeb"/>
        <w:numPr>
          <w:ilvl w:val="0"/>
          <w:numId w:val="13"/>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Aracı Kuruluş nezdinde açtırdığım ve/veya açtıracağım hesaplar üzerinden BIST Yakın İzleme Pazarında gerçekleştirilecek tüm işlemlerin SPK, BIST ve diğer sermaye piyasası kuruluşları tarafından çıkartılan ilgili her türlü mevzuat ve benzeri tüm düzenleme hükümlerine tabi olacağının,</w:t>
      </w:r>
    </w:p>
    <w:p w14:paraId="5733BE7F" w14:textId="77777777" w:rsidR="00636E11" w:rsidRPr="00BC4205" w:rsidRDefault="00636E11" w:rsidP="00636E11">
      <w:pPr>
        <w:pStyle w:val="NormalWeb"/>
        <w:numPr>
          <w:ilvl w:val="0"/>
          <w:numId w:val="13"/>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BIST Yakın İzleme Pazarında, BIST Yıldız Pazar ve Ana Pazar’dan farklı bir Pazar olarak organize edildiğinin, BIST Yakın İzleme Pazarında gerçekleşecek işlem kurallarının ve uygulanan işlem yöntemlerinin BIST Yıldız Pazar ve Ana Pazar ile benzerlikler gösterebileceği gibi farklılıklar da gösterebileceğinin,</w:t>
      </w:r>
    </w:p>
    <w:p w14:paraId="771FFBE7" w14:textId="77777777" w:rsidR="00636E11" w:rsidRPr="00BC4205" w:rsidRDefault="00636E11" w:rsidP="00636E11">
      <w:pPr>
        <w:pStyle w:val="NormalWeb"/>
        <w:numPr>
          <w:ilvl w:val="0"/>
          <w:numId w:val="13"/>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BIST Pay Piyasası Pazarlarında açığa satış ve kredili işlem, brüt takas, öz kaynak oranı, açık takas pozisyonu gibi işlem esaslarının Yakın İzleme Pazarı işlemlerinde değişiklik gösterdiğinin,</w:t>
      </w:r>
    </w:p>
    <w:p w14:paraId="210FD118" w14:textId="77777777" w:rsidR="00636E11" w:rsidRPr="00BC4205" w:rsidRDefault="00636E11" w:rsidP="00636E11">
      <w:pPr>
        <w:pStyle w:val="NormalWeb"/>
        <w:numPr>
          <w:ilvl w:val="0"/>
          <w:numId w:val="13"/>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 xml:space="preserve">Bu nedenler ile bu şirketlere yatırım yapmanın her durumda riskli olduğunun tarafımca bilindiğini, BIST Yakın İzleme Pazarı Pazar Risk Bildirim Formu ‘nu okuyup anladığımı, özgür iradem sonucu imzaladığımı, kabul, beyan ve taahhüt ederim. </w:t>
      </w:r>
    </w:p>
    <w:p w14:paraId="76D54914" w14:textId="77777777" w:rsidR="00636E11" w:rsidRPr="00BC4205" w:rsidRDefault="00636E11" w:rsidP="0090157D">
      <w:pPr>
        <w:pStyle w:val="Balk1"/>
        <w:jc w:val="center"/>
        <w:rPr>
          <w:rFonts w:ascii="Calibri" w:hAnsi="Calibri" w:cs="Calibri"/>
          <w:b/>
          <w:bCs/>
          <w:color w:val="auto"/>
          <w:sz w:val="24"/>
          <w:szCs w:val="24"/>
        </w:rPr>
      </w:pPr>
      <w:bookmarkStart w:id="9" w:name="_PİYASA_ÖNCESİ_İŞLEM"/>
      <w:bookmarkEnd w:id="9"/>
      <w:r w:rsidRPr="00BC4205">
        <w:rPr>
          <w:rFonts w:ascii="Calibri" w:hAnsi="Calibri" w:cs="Calibri"/>
          <w:b/>
          <w:bCs/>
          <w:color w:val="auto"/>
          <w:sz w:val="24"/>
          <w:szCs w:val="24"/>
        </w:rPr>
        <w:t>PİYASA ÖNCESİ İŞLEM PLATFORMU (PÖİP) BİLGİLENDİRME FORMU</w:t>
      </w:r>
    </w:p>
    <w:p w14:paraId="6F61696B" w14:textId="77777777" w:rsidR="00636E11" w:rsidRPr="00BC4205" w:rsidRDefault="00636E11" w:rsidP="00636E11">
      <w:pPr>
        <w:autoSpaceDE w:val="0"/>
        <w:autoSpaceDN w:val="0"/>
        <w:adjustRightInd w:val="0"/>
        <w:spacing w:before="120" w:after="0" w:line="240" w:lineRule="auto"/>
        <w:ind w:right="50"/>
        <w:jc w:val="both"/>
        <w:rPr>
          <w:rFonts w:cs="Calibri"/>
          <w:color w:val="262626" w:themeColor="text1" w:themeTint="D9"/>
        </w:rPr>
      </w:pPr>
      <w:r w:rsidRPr="00BC4205">
        <w:rPr>
          <w:rFonts w:cs="Calibri"/>
          <w:color w:val="262626" w:themeColor="text1" w:themeTint="D9"/>
        </w:rPr>
        <w:t>Dinamik Yatırım Menkul Değerler A.Ş. ile yaptığım Sermaye Piyasası İşlemleri Çerçeve Sözleşmesi’nde belirtilen hususlara ek olarak;</w:t>
      </w:r>
    </w:p>
    <w:p w14:paraId="0716101B" w14:textId="77777777" w:rsidR="00636E11" w:rsidRPr="00BC4205" w:rsidRDefault="00636E11" w:rsidP="00636E11">
      <w:pPr>
        <w:pStyle w:val="NormalWeb"/>
        <w:numPr>
          <w:ilvl w:val="0"/>
          <w:numId w:val="11"/>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Piyasa Öncesi İşlem Platformu (Platform)’</w:t>
      </w:r>
      <w:proofErr w:type="spellStart"/>
      <w:r w:rsidRPr="00BC4205">
        <w:rPr>
          <w:rFonts w:ascii="Calibri" w:hAnsi="Calibri" w:cs="Calibri"/>
          <w:color w:val="262626" w:themeColor="text1" w:themeTint="D9"/>
          <w:sz w:val="22"/>
          <w:szCs w:val="22"/>
          <w:bdr w:val="none" w:sz="0" w:space="0" w:color="auto" w:frame="1"/>
          <w:lang w:val="tr-TR"/>
        </w:rPr>
        <w:t>nda</w:t>
      </w:r>
      <w:proofErr w:type="spellEnd"/>
      <w:r w:rsidRPr="00BC4205">
        <w:rPr>
          <w:rFonts w:ascii="Calibri" w:hAnsi="Calibri" w:cs="Calibri"/>
          <w:color w:val="262626" w:themeColor="text1" w:themeTint="D9"/>
          <w:sz w:val="22"/>
          <w:szCs w:val="22"/>
          <w:bdr w:val="none" w:sz="0" w:space="0" w:color="auto" w:frame="1"/>
          <w:lang w:val="tr-TR"/>
        </w:rPr>
        <w:t xml:space="preserve"> halka açık statüde bulunan fakat daha önce Borsa’da işlem görmeyen şirketlerden Kurulca belirlenen şirketlerin paylarının işlem gördüğünün, </w:t>
      </w:r>
    </w:p>
    <w:p w14:paraId="74749460" w14:textId="77777777" w:rsidR="00636E11" w:rsidRPr="00BC4205" w:rsidRDefault="00636E11" w:rsidP="00636E11">
      <w:pPr>
        <w:pStyle w:val="NormalWeb"/>
        <w:numPr>
          <w:ilvl w:val="0"/>
          <w:numId w:val="11"/>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Şirket paylarının Platforma kabul şartı olarak Sermaye Piyasası Kurulu (SPK) kararı dışında Borsa İstanbul A.Ş. tarafından şirketin hukuki ve mali durumu ile faaliyetleri açısından herhangi bir inceleme yapılmadığının, bu alanlarda Kotasyon Yönergesi ve diğer Borsa mevzuatında yer alan herhangi bir nicelik ve/veya niteliğe ilişkin kritere (kârlılık, faaliyet süresi, sermaye büyüklüğü, piyasa değeri gibi unsurlara bağlanmış sınırlayıcı şartlar) göre değerlendirme yapılmadığının, söz konusu paylar Borsa’da işlem görmeye başladıktan sonra da söz konusu şirketlerin hukuki ve mali durumu ile faaliyetleri açısından herhangi bir inceleme yapılmayacağının,</w:t>
      </w:r>
    </w:p>
    <w:p w14:paraId="376D2C66" w14:textId="77777777" w:rsidR="00636E11" w:rsidRPr="00BC4205" w:rsidRDefault="00636E11" w:rsidP="00636E11">
      <w:pPr>
        <w:pStyle w:val="NormalWeb"/>
        <w:numPr>
          <w:ilvl w:val="0"/>
          <w:numId w:val="11"/>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proofErr w:type="spellStart"/>
      <w:r w:rsidRPr="00BC4205">
        <w:rPr>
          <w:rFonts w:ascii="Calibri" w:hAnsi="Calibri" w:cs="Calibri"/>
          <w:color w:val="262626" w:themeColor="text1" w:themeTint="D9"/>
          <w:sz w:val="22"/>
          <w:szCs w:val="22"/>
          <w:bdr w:val="none" w:sz="0" w:space="0" w:color="auto" w:frame="1"/>
          <w:lang w:val="tr-TR"/>
        </w:rPr>
        <w:t>PÖİP’te</w:t>
      </w:r>
      <w:proofErr w:type="spellEnd"/>
      <w:r w:rsidRPr="00BC4205">
        <w:rPr>
          <w:rFonts w:ascii="Calibri" w:hAnsi="Calibri" w:cs="Calibri"/>
          <w:color w:val="262626" w:themeColor="text1" w:themeTint="D9"/>
          <w:sz w:val="22"/>
          <w:szCs w:val="22"/>
          <w:bdr w:val="none" w:sz="0" w:space="0" w:color="auto" w:frame="1"/>
          <w:lang w:val="tr-TR"/>
        </w:rPr>
        <w:t xml:space="preserve"> işlem gören şirketin SPK ve Borsa İstanbul düzenlemelerine uymaması halinde, şirket paylarının işlem sırasının sürekli olarak durdurulabileceğinin, </w:t>
      </w:r>
    </w:p>
    <w:p w14:paraId="724D12E7" w14:textId="77777777" w:rsidR="00636E11" w:rsidRPr="00BC4205" w:rsidRDefault="00636E11" w:rsidP="00636E11">
      <w:pPr>
        <w:pStyle w:val="NormalWeb"/>
        <w:numPr>
          <w:ilvl w:val="0"/>
          <w:numId w:val="11"/>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 xml:space="preserve">SPK’nın 03.06.2011 tarihli ve 17/519 sayılı kararı gereği “Şirketin paylarının Platformda işlem görmeye başladığı tarihten itibaren SPK’nın II-15.1 sayılı Özel Durumlar Tebliği kapsamında özel </w:t>
      </w:r>
      <w:r w:rsidRPr="00BC4205">
        <w:rPr>
          <w:rFonts w:ascii="Calibri" w:hAnsi="Calibri" w:cs="Calibri"/>
          <w:color w:val="262626" w:themeColor="text1" w:themeTint="D9"/>
          <w:sz w:val="22"/>
          <w:szCs w:val="22"/>
          <w:bdr w:val="none" w:sz="0" w:space="0" w:color="auto" w:frame="1"/>
          <w:lang w:val="tr-TR"/>
        </w:rPr>
        <w:lastRenderedPageBreak/>
        <w:t xml:space="preserve">durum açıklaması yapmakla yükümlü olduğunun, ancak diğer sermaye piyasası mevzuatı yükümlülükleri açısından Platformda işlem gören şirketler için Kurulca belirlenen diğer yükümlülüklere tabi olduğunun, </w:t>
      </w:r>
    </w:p>
    <w:p w14:paraId="11DB1D8F" w14:textId="77777777" w:rsidR="00636E11" w:rsidRPr="00BC4205" w:rsidRDefault="00636E11" w:rsidP="00636E11">
      <w:pPr>
        <w:pStyle w:val="NormalWeb"/>
        <w:numPr>
          <w:ilvl w:val="0"/>
          <w:numId w:val="11"/>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 xml:space="preserve">Şirket paylarının Platformda işlem görmesinin şirketin veya şirket paylarının SPK ve Borsa İstanbul tarafından tekeffülü anlamına gelmeyeceğinin, </w:t>
      </w:r>
      <w:proofErr w:type="spellStart"/>
      <w:r w:rsidRPr="00BC4205">
        <w:rPr>
          <w:rFonts w:ascii="Calibri" w:hAnsi="Calibri" w:cs="Calibri"/>
          <w:color w:val="262626" w:themeColor="text1" w:themeTint="D9"/>
          <w:sz w:val="22"/>
          <w:szCs w:val="22"/>
          <w:bdr w:val="none" w:sz="0" w:space="0" w:color="auto" w:frame="1"/>
          <w:lang w:val="tr-TR"/>
        </w:rPr>
        <w:t>Platform’da</w:t>
      </w:r>
      <w:proofErr w:type="spellEnd"/>
      <w:r w:rsidRPr="00BC4205">
        <w:rPr>
          <w:rFonts w:ascii="Calibri" w:hAnsi="Calibri" w:cs="Calibri"/>
          <w:color w:val="262626" w:themeColor="text1" w:themeTint="D9"/>
          <w:sz w:val="22"/>
          <w:szCs w:val="22"/>
          <w:bdr w:val="none" w:sz="0" w:space="0" w:color="auto" w:frame="1"/>
          <w:lang w:val="tr-TR"/>
        </w:rPr>
        <w:t xml:space="preserve"> yapacağım yatırım ve üstlendiğim risk nedeniyle uğrayabileceğim zararlardan SPK ve Borsa İstanbul’un sorumlu olmadığının </w:t>
      </w:r>
    </w:p>
    <w:p w14:paraId="1E09B152" w14:textId="77777777" w:rsidR="00636E11" w:rsidRPr="00BC4205" w:rsidRDefault="00636E11" w:rsidP="00636E11">
      <w:pPr>
        <w:pStyle w:val="NormalWeb"/>
        <w:shd w:val="clear" w:color="auto" w:fill="FFFFFF"/>
        <w:spacing w:before="120" w:beforeAutospacing="0" w:after="0" w:afterAutospacing="0"/>
        <w:ind w:right="51"/>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 xml:space="preserve">bilincinde olarak işlem yaptığımı, Piyasa Öncesi İşlem Platformu Bilgilendirme </w:t>
      </w:r>
      <w:proofErr w:type="spellStart"/>
      <w:r w:rsidRPr="00BC4205">
        <w:rPr>
          <w:rFonts w:ascii="Calibri" w:hAnsi="Calibri" w:cs="Calibri"/>
          <w:color w:val="262626" w:themeColor="text1" w:themeTint="D9"/>
          <w:sz w:val="22"/>
          <w:szCs w:val="22"/>
          <w:bdr w:val="none" w:sz="0" w:space="0" w:color="auto" w:frame="1"/>
          <w:lang w:val="tr-TR"/>
        </w:rPr>
        <w:t>Formu’nu</w:t>
      </w:r>
      <w:proofErr w:type="spellEnd"/>
      <w:r w:rsidRPr="00BC4205">
        <w:rPr>
          <w:rFonts w:ascii="Calibri" w:hAnsi="Calibri" w:cs="Calibri"/>
          <w:color w:val="262626" w:themeColor="text1" w:themeTint="D9"/>
          <w:sz w:val="22"/>
          <w:szCs w:val="22"/>
          <w:bdr w:val="none" w:sz="0" w:space="0" w:color="auto" w:frame="1"/>
          <w:lang w:val="tr-TR"/>
        </w:rPr>
        <w:t xml:space="preserve"> ve Piyasa Öncesi İşlem Platformu İşleyiş Prosedürünü okuyup anladığımı, işbu belgeyi özgür iradem sonucu imzaladığımı, kabul, beyan ve taahhüt ederim. </w:t>
      </w:r>
    </w:p>
    <w:p w14:paraId="74E45D5E" w14:textId="77777777" w:rsidR="00636E11" w:rsidRPr="00BC4205" w:rsidRDefault="00636E11" w:rsidP="00636E11">
      <w:pPr>
        <w:shd w:val="clear" w:color="auto" w:fill="FFFFFF"/>
        <w:spacing w:before="120" w:after="0" w:line="240" w:lineRule="auto"/>
        <w:jc w:val="both"/>
        <w:rPr>
          <w:rFonts w:eastAsia="Times New Roman" w:cs="Calibri"/>
          <w:b/>
          <w:color w:val="262626" w:themeColor="text1" w:themeTint="D9"/>
          <w:lang w:eastAsia="tr-TR"/>
        </w:rPr>
      </w:pPr>
      <w:r w:rsidRPr="00BC4205">
        <w:rPr>
          <w:rFonts w:eastAsia="Times New Roman" w:cs="Calibri"/>
          <w:b/>
          <w:color w:val="262626" w:themeColor="text1" w:themeTint="D9"/>
          <w:lang w:eastAsia="tr-TR"/>
        </w:rPr>
        <w:t>İşbu sermaye piyasası işlemleri risk bildirim formu, Müşteri’yi işlemlere konu olabilecek ilgili sermaye piyasası araçlarına ilişkin olarak mevcut riskler hakkında bilgilendirmeyi amaçlamakta olup, sermaye piyasası araçlarının alım satımından ve uygulamadan kaynaklanabilecek tüm riskleri kapsamayabilir. Dolayısıyla tasarruflarınızı bu tip yatırımlara yönlendirmeden önce dikkatli bir şekilde araştırma yapmalısınız.</w:t>
      </w:r>
    </w:p>
    <w:p w14:paraId="77DEE365" w14:textId="77777777" w:rsidR="00636E11" w:rsidRPr="00B33FFC" w:rsidRDefault="00636E11" w:rsidP="0090157D">
      <w:pPr>
        <w:pStyle w:val="Balk1"/>
        <w:jc w:val="center"/>
        <w:rPr>
          <w:rFonts w:ascii="Calibri" w:hAnsi="Calibri" w:cs="Calibri"/>
          <w:b/>
          <w:color w:val="262626" w:themeColor="text1" w:themeTint="D9"/>
          <w:sz w:val="24"/>
          <w:szCs w:val="24"/>
        </w:rPr>
      </w:pPr>
      <w:bookmarkStart w:id="10" w:name="_VARANT_ve_VARANT"/>
      <w:bookmarkEnd w:id="10"/>
      <w:r w:rsidRPr="00B33FFC">
        <w:rPr>
          <w:rFonts w:ascii="Calibri" w:hAnsi="Calibri" w:cs="Calibri"/>
          <w:b/>
          <w:bCs/>
          <w:color w:val="auto"/>
          <w:sz w:val="24"/>
          <w:szCs w:val="24"/>
        </w:rPr>
        <w:t>VARANT ve VARANT BENZERİ SERMAYE PİYASASI ARAÇLARI RİSK BİLDİRİM FORMU</w:t>
      </w:r>
    </w:p>
    <w:p w14:paraId="3CC68A76" w14:textId="77777777" w:rsidR="00636E11" w:rsidRPr="00BC4205" w:rsidRDefault="00636E11" w:rsidP="00636E11">
      <w:pPr>
        <w:shd w:val="clear" w:color="auto" w:fill="FFFFFF"/>
        <w:spacing w:before="120" w:after="0" w:line="240" w:lineRule="auto"/>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Önemli Açıklama</w:t>
      </w:r>
    </w:p>
    <w:p w14:paraId="27BA9295" w14:textId="77777777" w:rsidR="00636E11" w:rsidRPr="00BC4205" w:rsidRDefault="00636E11" w:rsidP="00636E11">
      <w:pPr>
        <w:autoSpaceDE w:val="0"/>
        <w:autoSpaceDN w:val="0"/>
        <w:adjustRightInd w:val="0"/>
        <w:spacing w:before="120" w:after="0" w:line="240" w:lineRule="auto"/>
        <w:ind w:right="50"/>
        <w:jc w:val="both"/>
        <w:rPr>
          <w:rFonts w:cs="Calibri"/>
          <w:color w:val="262626" w:themeColor="text1" w:themeTint="D9"/>
        </w:rPr>
      </w:pPr>
      <w:r w:rsidRPr="00BC4205">
        <w:rPr>
          <w:rFonts w:cs="Calibri"/>
          <w:color w:val="262626" w:themeColor="text1" w:themeTint="D9"/>
        </w:rPr>
        <w:t>Sermaye piyasasında gerçekleştireceğiniz varant ve/veya varantlara benzer sermaye piyasası araçları alım satım işlemleri sonucunda kâr edebileceğiniz gibi zarar riskiniz de bulunmaktadır. Bu nedenle, işlem yapmaya karar vermeden önce, piyasada karşılaşabileceğiniz riskleri anlamanız, mali durumunuzu ve kısıtlarınızı dikkate alarak karar vermeniz gerekmektedir.</w:t>
      </w:r>
    </w:p>
    <w:p w14:paraId="3B961D12" w14:textId="77777777" w:rsidR="00636E11" w:rsidRPr="00BC4205" w:rsidRDefault="00636E11" w:rsidP="00636E11">
      <w:pPr>
        <w:autoSpaceDE w:val="0"/>
        <w:autoSpaceDN w:val="0"/>
        <w:adjustRightInd w:val="0"/>
        <w:spacing w:before="120" w:after="0" w:line="240" w:lineRule="auto"/>
        <w:ind w:right="50"/>
        <w:jc w:val="both"/>
        <w:rPr>
          <w:rFonts w:cs="Calibri"/>
          <w:color w:val="262626" w:themeColor="text1" w:themeTint="D9"/>
        </w:rPr>
      </w:pPr>
      <w:r w:rsidRPr="00BC4205">
        <w:rPr>
          <w:rFonts w:cs="Calibri"/>
          <w:color w:val="262626" w:themeColor="text1" w:themeTint="D9"/>
        </w:rPr>
        <w:t xml:space="preserve">Bu amaçla, Seri: III, No:37 “Aracı Kuruluş Varantlarının Kurul Kaydına Alınmasına ve Alım Satım İşlemlerine İlişkin Esaslar </w:t>
      </w:r>
      <w:proofErr w:type="spellStart"/>
      <w:r w:rsidRPr="00BC4205">
        <w:rPr>
          <w:rFonts w:cs="Calibri"/>
          <w:color w:val="262626" w:themeColor="text1" w:themeTint="D9"/>
        </w:rPr>
        <w:t>Tebliği”nin</w:t>
      </w:r>
      <w:proofErr w:type="spellEnd"/>
      <w:r w:rsidRPr="00BC4205">
        <w:rPr>
          <w:rFonts w:cs="Calibri"/>
          <w:color w:val="262626" w:themeColor="text1" w:themeTint="D9"/>
        </w:rPr>
        <w:t xml:space="preserve"> (Tebliğ) 16. maddesinde öngörüldüğü üzere “Varantlara İlişkin Risk Bildirim </w:t>
      </w:r>
      <w:proofErr w:type="spellStart"/>
      <w:r w:rsidRPr="00BC4205">
        <w:rPr>
          <w:rFonts w:cs="Calibri"/>
          <w:color w:val="262626" w:themeColor="text1" w:themeTint="D9"/>
        </w:rPr>
        <w:t>Formu”nda</w:t>
      </w:r>
      <w:proofErr w:type="spellEnd"/>
      <w:r w:rsidRPr="00BC4205">
        <w:rPr>
          <w:rFonts w:cs="Calibri"/>
          <w:color w:val="262626" w:themeColor="text1" w:themeTint="D9"/>
        </w:rPr>
        <w:t xml:space="preserve"> yer alan aşağıdaki hususları anlamanız gerekmektedir.</w:t>
      </w:r>
    </w:p>
    <w:p w14:paraId="08E60532"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Genel Bilgi</w:t>
      </w:r>
    </w:p>
    <w:p w14:paraId="7B6217D7" w14:textId="77777777" w:rsidR="00636E11" w:rsidRPr="00BC4205" w:rsidRDefault="00636E11" w:rsidP="00636E11">
      <w:pPr>
        <w:pStyle w:val="ListeParagraf"/>
        <w:autoSpaceDE w:val="0"/>
        <w:autoSpaceDN w:val="0"/>
        <w:adjustRightInd w:val="0"/>
        <w:spacing w:before="120" w:after="0" w:line="240" w:lineRule="auto"/>
        <w:ind w:left="0" w:right="50"/>
        <w:contextualSpacing w:val="0"/>
        <w:jc w:val="both"/>
        <w:rPr>
          <w:rFonts w:cs="Calibri"/>
          <w:color w:val="262626" w:themeColor="text1" w:themeTint="D9"/>
        </w:rPr>
      </w:pPr>
      <w:r w:rsidRPr="00BC4205">
        <w:rPr>
          <w:rFonts w:cs="Calibri"/>
          <w:color w:val="262626" w:themeColor="text1" w:themeTint="D9"/>
        </w:rPr>
        <w:t>Yatırım Kuruluşu Varantı (Varant), elinde bulunduran kişiye, dayanak varlığı ya da göstergeyi önceden belirlenen bir fiyattan belirli bir tarihte veya belirli bir tarihe kadar alma veya satma hakkı veren ve bu hakkın kaydı teslimat ya da nakit uzlaşı ile kullanıldığı menkul kıymet niteliğindeki sermaye piyasası aracıdır.</w:t>
      </w:r>
    </w:p>
    <w:p w14:paraId="7D399AA6" w14:textId="77777777" w:rsidR="00636E11" w:rsidRPr="00BC4205" w:rsidRDefault="00636E11" w:rsidP="00636E11">
      <w:pPr>
        <w:pStyle w:val="ListeParagraf"/>
        <w:autoSpaceDE w:val="0"/>
        <w:autoSpaceDN w:val="0"/>
        <w:adjustRightInd w:val="0"/>
        <w:spacing w:before="120" w:after="0" w:line="240" w:lineRule="auto"/>
        <w:ind w:left="0" w:right="50"/>
        <w:contextualSpacing w:val="0"/>
        <w:jc w:val="both"/>
        <w:rPr>
          <w:rFonts w:cs="Calibri"/>
          <w:color w:val="262626" w:themeColor="text1" w:themeTint="D9"/>
        </w:rPr>
      </w:pPr>
      <w:r w:rsidRPr="00BC4205">
        <w:rPr>
          <w:rFonts w:cs="Calibri"/>
          <w:color w:val="262626" w:themeColor="text1" w:themeTint="D9"/>
        </w:rPr>
        <w:t>Varantın dayanak varlığını, BİST 30 endeksinde yer olan hisse senedi ve/veya BİST 30 endeksi kapsamında yer alan birden fazla hisse senedinden oluşan sepet oluşturur. Dayanak göstergesi ise BİST tarafından oluşturulmuş hisse senedi endeksleridir. Sermaye Piyasası Kurulu (Kurul) tarafından uygun görülmesi halinde, yukarıda belirtilen dayanak varlık ve göstergeler dışında kalan konvertibl döviz, kıymetli maden, emtia, geçerliliği uluslararası alanda genel kabul görmüş endeksler gibi diğer varlık ve göstergeler de varanta dayanak teşkil edebilir.</w:t>
      </w:r>
    </w:p>
    <w:p w14:paraId="25EEC2C6" w14:textId="77777777" w:rsidR="00636E11" w:rsidRPr="00BC4205" w:rsidRDefault="00636E11" w:rsidP="00636E11">
      <w:pPr>
        <w:pStyle w:val="ListeParagraf"/>
        <w:autoSpaceDE w:val="0"/>
        <w:autoSpaceDN w:val="0"/>
        <w:adjustRightInd w:val="0"/>
        <w:spacing w:before="120" w:after="0" w:line="240" w:lineRule="auto"/>
        <w:ind w:left="0" w:right="50"/>
        <w:contextualSpacing w:val="0"/>
        <w:jc w:val="both"/>
        <w:rPr>
          <w:rFonts w:cs="Calibri"/>
          <w:b/>
          <w:color w:val="262626" w:themeColor="text1" w:themeTint="D9"/>
        </w:rPr>
      </w:pPr>
      <w:r w:rsidRPr="00BC4205">
        <w:rPr>
          <w:rFonts w:cs="Calibri"/>
          <w:b/>
          <w:color w:val="262626" w:themeColor="text1" w:themeTint="D9"/>
        </w:rPr>
        <w:t>Bu formda yer alan açıklamalar Tebliğ’in 20'nci maddesi uyarınca Kurul'un uygun göreceği varantlara benzer nitelikli sermaye piyasası araçları (varant benzeri) için de geçerlidir. Varant benzeri sermaye piyasası aracı alım satım işlemini gerçekleştiren Yatırım Kuruluşu, söz konusu sermaye piyasası aracının özellikleri hakkında Müşterilerini bilgilendirmek zorundadır. İşleme başlamadan önce bu bilgileri edinmeniz önemlidir. Yatırım Kuruluşu’nuzdan mutlaka talep ediniz.</w:t>
      </w:r>
    </w:p>
    <w:p w14:paraId="53B2F222"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İŞLEYİŞ ESASLARI, HAK ve YÜKÜMLÜLÜKLER</w:t>
      </w:r>
    </w:p>
    <w:p w14:paraId="12FFD1C7" w14:textId="77777777" w:rsidR="00636E11" w:rsidRPr="00BC4205" w:rsidRDefault="00636E11" w:rsidP="00636E11">
      <w:pPr>
        <w:pStyle w:val="ListeParagraf"/>
        <w:numPr>
          <w:ilvl w:val="0"/>
          <w:numId w:val="4"/>
        </w:numPr>
        <w:autoSpaceDE w:val="0"/>
        <w:autoSpaceDN w:val="0"/>
        <w:adjustRightInd w:val="0"/>
        <w:spacing w:before="120" w:after="0" w:line="240" w:lineRule="auto"/>
        <w:ind w:left="284" w:right="51" w:hanging="284"/>
        <w:contextualSpacing w:val="0"/>
        <w:jc w:val="both"/>
        <w:rPr>
          <w:rFonts w:cs="Calibri"/>
          <w:color w:val="262626" w:themeColor="text1" w:themeTint="D9"/>
          <w:lang w:eastAsia="tr-TR"/>
        </w:rPr>
      </w:pPr>
      <w:r w:rsidRPr="00BC4205">
        <w:rPr>
          <w:rFonts w:cs="Calibri"/>
          <w:color w:val="262626" w:themeColor="text1" w:themeTint="D9"/>
          <w:lang w:eastAsia="tr-TR"/>
        </w:rPr>
        <w:t xml:space="preserve">Varantların alım satımı, Kurulun onayı üzerine BİST mevzuatı çerçevesinde belirlenecek işlem esasları kapsamında </w:t>
      </w:r>
      <w:proofErr w:type="spellStart"/>
      <w:r w:rsidRPr="00BC4205">
        <w:rPr>
          <w:rFonts w:cs="Calibri"/>
          <w:color w:val="262626" w:themeColor="text1" w:themeTint="D9"/>
          <w:lang w:eastAsia="tr-TR"/>
        </w:rPr>
        <w:t>BİST'in</w:t>
      </w:r>
      <w:proofErr w:type="spellEnd"/>
      <w:r w:rsidRPr="00BC4205">
        <w:rPr>
          <w:rFonts w:cs="Calibri"/>
          <w:color w:val="262626" w:themeColor="text1" w:themeTint="D9"/>
          <w:lang w:eastAsia="tr-TR"/>
        </w:rPr>
        <w:t xml:space="preserve"> uygun göreceği pazarda, piyasa yapıcılık esasına dayalı olarak yapılır. Piyasa yapıcılığı kapsamında, piyasa yapıcısı Yatırım Kuruluşu likidite sağlamak üzere, ilgili piyasa düzenlemeleri çerçevesinde sürekli alım-satım kotasyonu vermek zorundadır. Piyasa yapıcılığına ilişkin esaslar, Kurulun uygun görüşü üzerine BİST tarafından belirlenir.</w:t>
      </w:r>
    </w:p>
    <w:p w14:paraId="7B1F8772" w14:textId="77777777" w:rsidR="00636E11" w:rsidRPr="00BC4205" w:rsidRDefault="00636E11" w:rsidP="00636E11">
      <w:pPr>
        <w:pStyle w:val="ListeParagraf"/>
        <w:numPr>
          <w:ilvl w:val="0"/>
          <w:numId w:val="4"/>
        </w:numPr>
        <w:autoSpaceDE w:val="0"/>
        <w:autoSpaceDN w:val="0"/>
        <w:adjustRightInd w:val="0"/>
        <w:spacing w:before="120" w:after="0" w:line="240" w:lineRule="auto"/>
        <w:ind w:left="284" w:right="51" w:hanging="284"/>
        <w:contextualSpacing w:val="0"/>
        <w:jc w:val="both"/>
        <w:rPr>
          <w:rFonts w:cs="Calibri"/>
          <w:color w:val="262626" w:themeColor="text1" w:themeTint="D9"/>
          <w:lang w:eastAsia="tr-TR"/>
        </w:rPr>
      </w:pPr>
      <w:r w:rsidRPr="00BC4205">
        <w:rPr>
          <w:rFonts w:cs="Calibri"/>
          <w:color w:val="262626" w:themeColor="text1" w:themeTint="D9"/>
          <w:lang w:eastAsia="tr-TR"/>
        </w:rPr>
        <w:lastRenderedPageBreak/>
        <w:t xml:space="preserve">Varantların satışının Yatırım Kuruluşular vasıtasıyla yapılması ve </w:t>
      </w:r>
      <w:proofErr w:type="spellStart"/>
      <w:r w:rsidRPr="00BC4205">
        <w:rPr>
          <w:rFonts w:cs="Calibri"/>
          <w:color w:val="262626" w:themeColor="text1" w:themeTint="D9"/>
          <w:lang w:eastAsia="tr-TR"/>
        </w:rPr>
        <w:t>BİST'de</w:t>
      </w:r>
      <w:proofErr w:type="spellEnd"/>
      <w:r w:rsidRPr="00BC4205">
        <w:rPr>
          <w:rFonts w:cs="Calibri"/>
          <w:color w:val="262626" w:themeColor="text1" w:themeTint="D9"/>
          <w:lang w:eastAsia="tr-TR"/>
        </w:rPr>
        <w:t xml:space="preserve"> işlem görmesi zorunludur. </w:t>
      </w:r>
      <w:proofErr w:type="spellStart"/>
      <w:r w:rsidRPr="00BC4205">
        <w:rPr>
          <w:rFonts w:cs="Calibri"/>
          <w:color w:val="262626" w:themeColor="text1" w:themeTint="D9"/>
          <w:lang w:eastAsia="tr-TR"/>
        </w:rPr>
        <w:t>BİST'de</w:t>
      </w:r>
      <w:proofErr w:type="spellEnd"/>
      <w:r w:rsidRPr="00BC4205">
        <w:rPr>
          <w:rFonts w:cs="Calibri"/>
          <w:color w:val="262626" w:themeColor="text1" w:themeTint="D9"/>
          <w:lang w:eastAsia="tr-TR"/>
        </w:rPr>
        <w:t xml:space="preserve"> işlem gören varantların işlem sırasının kapatılmasına ilişkin esaslar BİST tarafından belirlenir.</w:t>
      </w:r>
    </w:p>
    <w:p w14:paraId="039C1D8C" w14:textId="77777777" w:rsidR="00636E11" w:rsidRPr="00BC4205" w:rsidRDefault="00636E11" w:rsidP="00636E11">
      <w:pPr>
        <w:pStyle w:val="ListeParagraf"/>
        <w:numPr>
          <w:ilvl w:val="0"/>
          <w:numId w:val="4"/>
        </w:numPr>
        <w:autoSpaceDE w:val="0"/>
        <w:autoSpaceDN w:val="0"/>
        <w:adjustRightInd w:val="0"/>
        <w:spacing w:before="120" w:after="0" w:line="240" w:lineRule="auto"/>
        <w:ind w:left="284" w:right="51" w:hanging="284"/>
        <w:contextualSpacing w:val="0"/>
        <w:jc w:val="both"/>
        <w:rPr>
          <w:rFonts w:cs="Calibri"/>
          <w:color w:val="262626" w:themeColor="text1" w:themeTint="D9"/>
          <w:lang w:eastAsia="tr-TR"/>
        </w:rPr>
      </w:pPr>
      <w:r w:rsidRPr="00BC4205">
        <w:rPr>
          <w:rFonts w:cs="Calibri"/>
          <w:color w:val="262626" w:themeColor="text1" w:themeTint="D9"/>
          <w:lang w:eastAsia="tr-TR"/>
        </w:rPr>
        <w:t>Varantların vadeleri iki aydan az, beş yıldan fazla olamaz.</w:t>
      </w:r>
    </w:p>
    <w:p w14:paraId="17264486" w14:textId="77777777" w:rsidR="00636E11" w:rsidRPr="00BC4205" w:rsidRDefault="00636E11" w:rsidP="00636E11">
      <w:pPr>
        <w:pStyle w:val="ListeParagraf"/>
        <w:numPr>
          <w:ilvl w:val="0"/>
          <w:numId w:val="4"/>
        </w:numPr>
        <w:autoSpaceDE w:val="0"/>
        <w:autoSpaceDN w:val="0"/>
        <w:adjustRightInd w:val="0"/>
        <w:spacing w:before="120" w:after="0" w:line="240" w:lineRule="auto"/>
        <w:ind w:left="284" w:right="51" w:hanging="284"/>
        <w:contextualSpacing w:val="0"/>
        <w:jc w:val="both"/>
        <w:rPr>
          <w:rFonts w:cs="Calibri"/>
          <w:color w:val="262626" w:themeColor="text1" w:themeTint="D9"/>
          <w:lang w:eastAsia="tr-TR"/>
        </w:rPr>
      </w:pPr>
      <w:r w:rsidRPr="00BC4205">
        <w:rPr>
          <w:rFonts w:cs="Calibri"/>
          <w:color w:val="262626" w:themeColor="text1" w:themeTint="D9"/>
          <w:lang w:eastAsia="tr-TR"/>
        </w:rPr>
        <w:t>Dayanak varlığı veya göstergesi BİST 30 endeksinde yer alan hisse senedi veya BİST 30 endeksi kapsamında yer alan birden fazla hisse senedinden oluşan sepetin olduğu varantlarda uzlaşı biçimi kaydi teslimat veya nakit uzlaşı olarak belirlenebilir. Dayanak varlığı bunların dışında varlık ya da gösterge olan varantlarda ise nakit uzlaşı esaslarının uygulanması zorunludur.</w:t>
      </w:r>
    </w:p>
    <w:p w14:paraId="321F9927" w14:textId="77777777" w:rsidR="00636E11" w:rsidRPr="00BC4205" w:rsidRDefault="00636E11" w:rsidP="00636E11">
      <w:pPr>
        <w:pStyle w:val="ListeParagraf"/>
        <w:numPr>
          <w:ilvl w:val="0"/>
          <w:numId w:val="4"/>
        </w:numPr>
        <w:autoSpaceDE w:val="0"/>
        <w:autoSpaceDN w:val="0"/>
        <w:adjustRightInd w:val="0"/>
        <w:spacing w:before="120" w:after="0" w:line="240" w:lineRule="auto"/>
        <w:ind w:left="284" w:right="51" w:hanging="284"/>
        <w:contextualSpacing w:val="0"/>
        <w:jc w:val="both"/>
        <w:rPr>
          <w:rFonts w:cs="Calibri"/>
          <w:color w:val="262626" w:themeColor="text1" w:themeTint="D9"/>
          <w:lang w:eastAsia="tr-TR"/>
        </w:rPr>
      </w:pPr>
      <w:r w:rsidRPr="00BC4205">
        <w:rPr>
          <w:rFonts w:cs="Calibri"/>
          <w:color w:val="262626" w:themeColor="text1" w:themeTint="D9"/>
          <w:lang w:eastAsia="tr-TR"/>
        </w:rPr>
        <w:t xml:space="preserve">Varant ihracından doğan uzlaşı yükümlülüğünün yerine getirilmesinden ihraççı sorumludur. Garantör bulunması halinde, ihraççı ile garantör </w:t>
      </w:r>
      <w:proofErr w:type="spellStart"/>
      <w:r w:rsidRPr="00BC4205">
        <w:rPr>
          <w:rFonts w:cs="Calibri"/>
          <w:color w:val="262626" w:themeColor="text1" w:themeTint="D9"/>
          <w:lang w:eastAsia="tr-TR"/>
        </w:rPr>
        <w:t>müteselsilen</w:t>
      </w:r>
      <w:proofErr w:type="spellEnd"/>
      <w:r w:rsidRPr="00BC4205">
        <w:rPr>
          <w:rFonts w:cs="Calibri"/>
          <w:color w:val="262626" w:themeColor="text1" w:themeTint="D9"/>
          <w:lang w:eastAsia="tr-TR"/>
        </w:rPr>
        <w:t xml:space="preserve"> sorumlu olur.</w:t>
      </w:r>
    </w:p>
    <w:p w14:paraId="01434A28" w14:textId="77777777" w:rsidR="00636E11" w:rsidRPr="00BC4205" w:rsidRDefault="00636E11" w:rsidP="00636E11">
      <w:pPr>
        <w:pStyle w:val="ListeParagraf"/>
        <w:numPr>
          <w:ilvl w:val="0"/>
          <w:numId w:val="4"/>
        </w:numPr>
        <w:autoSpaceDE w:val="0"/>
        <w:autoSpaceDN w:val="0"/>
        <w:adjustRightInd w:val="0"/>
        <w:spacing w:before="120" w:after="0" w:line="240" w:lineRule="auto"/>
        <w:ind w:left="284" w:right="51" w:hanging="284"/>
        <w:contextualSpacing w:val="0"/>
        <w:jc w:val="both"/>
        <w:rPr>
          <w:rFonts w:cs="Calibri"/>
          <w:color w:val="262626" w:themeColor="text1" w:themeTint="D9"/>
        </w:rPr>
      </w:pPr>
      <w:r w:rsidRPr="00BC4205">
        <w:rPr>
          <w:rFonts w:cs="Calibri"/>
          <w:color w:val="262626" w:themeColor="text1" w:themeTint="D9"/>
          <w:lang w:eastAsia="tr-TR"/>
        </w:rPr>
        <w:t>Varant ihraçları kaydı olarak</w:t>
      </w:r>
      <w:r w:rsidRPr="00BC4205">
        <w:rPr>
          <w:rFonts w:cs="Calibri"/>
          <w:color w:val="262626" w:themeColor="text1" w:themeTint="D9"/>
        </w:rPr>
        <w:t xml:space="preserve"> yapılır ve ihraççının MKK üyesi olması zorunludur.</w:t>
      </w:r>
    </w:p>
    <w:p w14:paraId="0D80A3F8"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RİSK BİLDİRİMİ</w:t>
      </w:r>
    </w:p>
    <w:p w14:paraId="1B1F26DB" w14:textId="77777777" w:rsidR="00636E11" w:rsidRPr="00BC4205" w:rsidRDefault="00636E11" w:rsidP="00636E11">
      <w:pPr>
        <w:pStyle w:val="ListeParagraf"/>
        <w:numPr>
          <w:ilvl w:val="0"/>
          <w:numId w:val="5"/>
        </w:numPr>
        <w:autoSpaceDE w:val="0"/>
        <w:autoSpaceDN w:val="0"/>
        <w:adjustRightInd w:val="0"/>
        <w:spacing w:before="120" w:after="0" w:line="240" w:lineRule="auto"/>
        <w:ind w:left="284" w:right="50" w:hanging="284"/>
        <w:contextualSpacing w:val="0"/>
        <w:jc w:val="both"/>
        <w:rPr>
          <w:rFonts w:cs="Calibri"/>
          <w:color w:val="262626" w:themeColor="text1" w:themeTint="D9"/>
          <w:lang w:eastAsia="tr-TR"/>
        </w:rPr>
      </w:pPr>
      <w:r w:rsidRPr="00BC4205">
        <w:rPr>
          <w:rFonts w:cs="Calibri"/>
          <w:color w:val="262626" w:themeColor="text1" w:themeTint="D9"/>
          <w:lang w:eastAsia="tr-TR"/>
        </w:rPr>
        <w:t>Yatırım Kuruluşu nezdinde açtıracağınız hesap ve bu hesap üzerinden gerçekleştirilecek tüm işlemler için Sermaye Piyasası Kurulu, borsalar, takas ve saklama merkezleri tarafından çıkartılan ilgili her türlü mevzuat ve benzeri tüm İdari düzenleme hükümleri uygulanacaktır.</w:t>
      </w:r>
    </w:p>
    <w:p w14:paraId="152262A9" w14:textId="77777777" w:rsidR="00636E11" w:rsidRPr="00BC4205" w:rsidRDefault="00636E11" w:rsidP="00636E11">
      <w:pPr>
        <w:pStyle w:val="ListeParagraf"/>
        <w:numPr>
          <w:ilvl w:val="0"/>
          <w:numId w:val="5"/>
        </w:numPr>
        <w:autoSpaceDE w:val="0"/>
        <w:autoSpaceDN w:val="0"/>
        <w:adjustRightInd w:val="0"/>
        <w:spacing w:before="120" w:after="0" w:line="240" w:lineRule="auto"/>
        <w:ind w:left="284" w:right="50" w:hanging="284"/>
        <w:contextualSpacing w:val="0"/>
        <w:jc w:val="both"/>
        <w:rPr>
          <w:rFonts w:cs="Calibri"/>
          <w:color w:val="262626" w:themeColor="text1" w:themeTint="D9"/>
          <w:lang w:eastAsia="tr-TR"/>
        </w:rPr>
      </w:pPr>
      <w:r w:rsidRPr="00BC4205">
        <w:rPr>
          <w:rFonts w:cs="Calibri"/>
          <w:color w:val="262626" w:themeColor="text1" w:themeTint="D9"/>
          <w:lang w:eastAsia="tr-TR"/>
        </w:rPr>
        <w:t>Varant işlemleri çeşitli oranlarda riske tabidir. Piyasada oluşacak fiyat hareketleri sonucunda Yatırım Kuruluşu’na yatırdığınız paranın tümünü kaybedebileceğiniz gibi, kayıplarınız yapacağınız işlemin türüne göre yatırdığınız para tutarını dahi aşabilecektir.</w:t>
      </w:r>
    </w:p>
    <w:p w14:paraId="632FA6FA" w14:textId="77777777" w:rsidR="00636E11" w:rsidRPr="00BC4205" w:rsidRDefault="00636E11" w:rsidP="00636E11">
      <w:pPr>
        <w:pStyle w:val="ListeParagraf"/>
        <w:numPr>
          <w:ilvl w:val="0"/>
          <w:numId w:val="5"/>
        </w:numPr>
        <w:autoSpaceDE w:val="0"/>
        <w:autoSpaceDN w:val="0"/>
        <w:adjustRightInd w:val="0"/>
        <w:spacing w:before="120" w:after="0" w:line="240" w:lineRule="auto"/>
        <w:ind w:left="284" w:right="50" w:hanging="284"/>
        <w:contextualSpacing w:val="0"/>
        <w:jc w:val="both"/>
        <w:rPr>
          <w:rFonts w:cs="Calibri"/>
          <w:color w:val="262626" w:themeColor="text1" w:themeTint="D9"/>
          <w:lang w:eastAsia="tr-TR"/>
        </w:rPr>
      </w:pPr>
      <w:r w:rsidRPr="00BC4205">
        <w:rPr>
          <w:rFonts w:cs="Calibri"/>
          <w:color w:val="262626" w:themeColor="text1" w:themeTint="D9"/>
          <w:lang w:eastAsia="tr-TR"/>
        </w:rPr>
        <w:t>Kaldıraç etkisi nedeniyle varant alım işlemi yapmanın piyasada lehe çalışabileceği gibi aleyhe de çalışabileceği ve bu anlamda kaldıraç etkisinin tarafınıza yüksek kazançlar sağlayabileceği gibi zararlara da yol açabileceği ihtimali göz önünde bulundurulmalıdır.</w:t>
      </w:r>
    </w:p>
    <w:p w14:paraId="3625A225" w14:textId="77777777" w:rsidR="00636E11" w:rsidRPr="00BC4205" w:rsidRDefault="00636E11" w:rsidP="00636E11">
      <w:pPr>
        <w:pStyle w:val="ListeParagraf"/>
        <w:numPr>
          <w:ilvl w:val="0"/>
          <w:numId w:val="5"/>
        </w:numPr>
        <w:autoSpaceDE w:val="0"/>
        <w:autoSpaceDN w:val="0"/>
        <w:adjustRightInd w:val="0"/>
        <w:spacing w:before="120" w:after="0" w:line="240" w:lineRule="auto"/>
        <w:ind w:left="284" w:right="50" w:hanging="284"/>
        <w:contextualSpacing w:val="0"/>
        <w:jc w:val="both"/>
        <w:rPr>
          <w:rFonts w:cs="Calibri"/>
          <w:color w:val="262626" w:themeColor="text1" w:themeTint="D9"/>
          <w:lang w:eastAsia="tr-TR"/>
        </w:rPr>
      </w:pPr>
      <w:r w:rsidRPr="00BC4205">
        <w:rPr>
          <w:rFonts w:cs="Calibri"/>
          <w:color w:val="262626" w:themeColor="text1" w:themeTint="D9"/>
          <w:lang w:eastAsia="tr-TR"/>
        </w:rPr>
        <w:t>Bir varant satın alırsanız ve varantın sağladığı dayanak varlığı ya da göstergeyi önceden belirlenen bir fiyattan belirli bir tarihte veya belirli bir tarihe kadar alma veya satma hakkını kullanmamaya karar verirseniz, riskinizi varanta ödediğiniz bedel ve buna ek olarak ödeyeceğiniz komisyon ve diğer muamele ücreti ile sınırlamanız mümkündür.</w:t>
      </w:r>
    </w:p>
    <w:p w14:paraId="5CCA3504" w14:textId="77777777" w:rsidR="00636E11" w:rsidRPr="00BC4205" w:rsidRDefault="00636E11" w:rsidP="00636E11">
      <w:pPr>
        <w:pStyle w:val="ListeParagraf"/>
        <w:numPr>
          <w:ilvl w:val="0"/>
          <w:numId w:val="5"/>
        </w:numPr>
        <w:autoSpaceDE w:val="0"/>
        <w:autoSpaceDN w:val="0"/>
        <w:adjustRightInd w:val="0"/>
        <w:spacing w:before="120" w:after="0" w:line="240" w:lineRule="auto"/>
        <w:ind w:left="284" w:right="50" w:hanging="284"/>
        <w:contextualSpacing w:val="0"/>
        <w:jc w:val="both"/>
        <w:rPr>
          <w:rFonts w:cs="Calibri"/>
          <w:color w:val="262626" w:themeColor="text1" w:themeTint="D9"/>
          <w:lang w:eastAsia="tr-TR"/>
        </w:rPr>
      </w:pPr>
      <w:r w:rsidRPr="00BC4205">
        <w:rPr>
          <w:rFonts w:cs="Calibri"/>
          <w:color w:val="262626" w:themeColor="text1" w:themeTint="D9"/>
          <w:lang w:eastAsia="tr-TR"/>
        </w:rPr>
        <w:t>Yatırım Kuruluşu’nun piyasada işlem yapacağınız varantlara ilişkin olarak tarafınıza aktaracağı bilgiler ve yapacağı tavsiyelerin eksik ve doğrulamaya muhtaç olabileceği tarafınızca dikkate alınmalıdır.</w:t>
      </w:r>
    </w:p>
    <w:p w14:paraId="5460B08B" w14:textId="77777777" w:rsidR="00636E11" w:rsidRPr="00BC4205" w:rsidRDefault="00636E11" w:rsidP="00636E11">
      <w:pPr>
        <w:pStyle w:val="ListeParagraf"/>
        <w:numPr>
          <w:ilvl w:val="0"/>
          <w:numId w:val="5"/>
        </w:numPr>
        <w:autoSpaceDE w:val="0"/>
        <w:autoSpaceDN w:val="0"/>
        <w:adjustRightInd w:val="0"/>
        <w:spacing w:before="120" w:after="0" w:line="240" w:lineRule="auto"/>
        <w:ind w:left="284" w:right="50" w:hanging="284"/>
        <w:contextualSpacing w:val="0"/>
        <w:jc w:val="both"/>
        <w:rPr>
          <w:rFonts w:cs="Calibri"/>
          <w:color w:val="262626" w:themeColor="text1" w:themeTint="D9"/>
          <w:lang w:eastAsia="tr-TR"/>
        </w:rPr>
      </w:pPr>
      <w:r w:rsidRPr="00BC4205">
        <w:rPr>
          <w:rFonts w:cs="Calibri"/>
          <w:color w:val="262626" w:themeColor="text1" w:themeTint="D9"/>
          <w:lang w:eastAsia="tr-TR"/>
        </w:rPr>
        <w:t>Varant alım satımına ilişkin olarak Yatırım Kuruluşu’nun yetkili personelince yapılarak teknik ve temel analizin kişiden kişiye farklılık arz edebileceği ve bu analizlerde yapılan öngörülerin kesin olarak gerçekleşmeme olasılığının bulunduğu dikkate alınmalıdır.</w:t>
      </w:r>
    </w:p>
    <w:p w14:paraId="1C61B963" w14:textId="77777777" w:rsidR="00636E11" w:rsidRPr="00BC4205" w:rsidRDefault="00636E11" w:rsidP="00636E11">
      <w:pPr>
        <w:pStyle w:val="ListeParagraf"/>
        <w:numPr>
          <w:ilvl w:val="0"/>
          <w:numId w:val="5"/>
        </w:numPr>
        <w:autoSpaceDE w:val="0"/>
        <w:autoSpaceDN w:val="0"/>
        <w:adjustRightInd w:val="0"/>
        <w:spacing w:before="120" w:after="0" w:line="240" w:lineRule="auto"/>
        <w:ind w:left="284" w:right="50" w:hanging="284"/>
        <w:contextualSpacing w:val="0"/>
        <w:jc w:val="both"/>
        <w:rPr>
          <w:rFonts w:cs="Calibri"/>
          <w:color w:val="262626" w:themeColor="text1" w:themeTint="D9"/>
          <w:lang w:eastAsia="tr-TR"/>
        </w:rPr>
      </w:pPr>
      <w:r w:rsidRPr="00BC4205">
        <w:rPr>
          <w:rFonts w:cs="Calibri"/>
          <w:color w:val="262626" w:themeColor="text1" w:themeTint="D9"/>
          <w:lang w:eastAsia="tr-TR"/>
        </w:rPr>
        <w:t>Varant ihracı nedeniyle ihraççının maruz kaldığı risklere ilişkin risk yönetim politikasının izahnamede yer alması zorunludur. İzahname, Tebliğ uyarınca ihraççı ile piyasa yapıcının internet sitesinde yayınlanır. İhraççının risk yönetim politikası, yatırım kararınızı vermeden önce dikkatle okunmalıdır.</w:t>
      </w:r>
    </w:p>
    <w:p w14:paraId="6C11CC3A" w14:textId="77777777" w:rsidR="00636E11" w:rsidRPr="00BC4205" w:rsidRDefault="00636E11" w:rsidP="00636E11">
      <w:pPr>
        <w:pStyle w:val="ListeParagraf"/>
        <w:numPr>
          <w:ilvl w:val="0"/>
          <w:numId w:val="5"/>
        </w:numPr>
        <w:autoSpaceDE w:val="0"/>
        <w:autoSpaceDN w:val="0"/>
        <w:adjustRightInd w:val="0"/>
        <w:spacing w:before="120" w:after="0" w:line="240" w:lineRule="auto"/>
        <w:ind w:left="284" w:right="50" w:hanging="284"/>
        <w:contextualSpacing w:val="0"/>
        <w:jc w:val="both"/>
        <w:rPr>
          <w:rFonts w:cs="Calibri"/>
          <w:color w:val="262626" w:themeColor="text1" w:themeTint="D9"/>
          <w:lang w:eastAsia="tr-TR"/>
        </w:rPr>
      </w:pPr>
      <w:r w:rsidRPr="00BC4205">
        <w:rPr>
          <w:rFonts w:cs="Calibri"/>
          <w:color w:val="262626" w:themeColor="text1" w:themeTint="D9"/>
          <w:lang w:eastAsia="tr-TR"/>
        </w:rPr>
        <w:t>Yabancı para cinsinden düzenlenen varantlar ve/veya varantların dayanak varlığında, yukarıda sayılan risklere ek olarak kur riskinin olduğunu, kur dalgalanmaları nedeniyle Türk lirası bazında değer kaybı olabileceği, devletlerin yabancı sermaye ve döviz hareketlerini kısıtlayabileceği, ek ve/veya yeni vergiler getirebileceği, alım satım işlemlerinin zamanında gerçekleşmeyebileceği bilinmelidir.</w:t>
      </w:r>
    </w:p>
    <w:p w14:paraId="01D4AEEE" w14:textId="77777777" w:rsidR="00636E11" w:rsidRPr="00BC4205" w:rsidRDefault="00636E11" w:rsidP="00636E11">
      <w:pPr>
        <w:pStyle w:val="ListeParagraf"/>
        <w:numPr>
          <w:ilvl w:val="0"/>
          <w:numId w:val="5"/>
        </w:numPr>
        <w:autoSpaceDE w:val="0"/>
        <w:autoSpaceDN w:val="0"/>
        <w:adjustRightInd w:val="0"/>
        <w:spacing w:before="120" w:after="0" w:line="240" w:lineRule="auto"/>
        <w:ind w:left="284" w:right="50" w:hanging="284"/>
        <w:contextualSpacing w:val="0"/>
        <w:jc w:val="both"/>
        <w:rPr>
          <w:rFonts w:cs="Calibri"/>
          <w:color w:val="262626" w:themeColor="text1" w:themeTint="D9"/>
          <w:lang w:eastAsia="tr-TR"/>
        </w:rPr>
      </w:pPr>
      <w:r w:rsidRPr="00BC4205">
        <w:rPr>
          <w:rFonts w:cs="Calibri"/>
          <w:color w:val="262626" w:themeColor="text1" w:themeTint="D9"/>
          <w:lang w:eastAsia="tr-TR"/>
        </w:rPr>
        <w:t xml:space="preserve">İşlemlerinize başlamadan önce, Yatırım Kuruluşu’nuzdan yükümlü olacağınız bütün komisyon ve diğer muamele ücretleri konusunda teyit almalısınız. Eğer ücretler parasal olarak ifade edilmemişse, ücretlerin parasal olarak size nasıl yansıyacağı ile ilgili anlaşılır örnekler içeren yazılı bir açıklama talep etmelisiniz. </w:t>
      </w:r>
    </w:p>
    <w:p w14:paraId="57479CA1" w14:textId="77777777" w:rsidR="00636E11" w:rsidRPr="00B33FFC" w:rsidRDefault="00636E11" w:rsidP="00FB5A61">
      <w:pPr>
        <w:pStyle w:val="Balk1"/>
        <w:jc w:val="center"/>
        <w:rPr>
          <w:rFonts w:ascii="Calibri" w:hAnsi="Calibri" w:cs="Calibri"/>
          <w:b/>
          <w:bCs/>
          <w:caps/>
          <w:color w:val="auto"/>
          <w:sz w:val="24"/>
          <w:szCs w:val="24"/>
        </w:rPr>
      </w:pPr>
      <w:bookmarkStart w:id="11" w:name="_VII-128.1_sayılı_“Pay"/>
      <w:bookmarkEnd w:id="11"/>
      <w:r w:rsidRPr="00B33FFC">
        <w:rPr>
          <w:rFonts w:ascii="Calibri" w:hAnsi="Calibri" w:cs="Calibri"/>
          <w:b/>
          <w:bCs/>
          <w:caps/>
          <w:color w:val="auto"/>
          <w:sz w:val="24"/>
          <w:szCs w:val="24"/>
        </w:rPr>
        <w:lastRenderedPageBreak/>
        <w:t>VII-128.1 sayılı “Pay Tebliği”nin 18 ve 19’uncu maddeleri kapsamında YAPILACAK SERMAYE ARTTIRIMLARINA İLİŞKİN YATIRIMCI BİLGİLENDİRMESİ</w:t>
      </w:r>
    </w:p>
    <w:p w14:paraId="7150A0DB" w14:textId="77777777" w:rsidR="00636E11" w:rsidRPr="00BC4205" w:rsidRDefault="00636E11" w:rsidP="00636E11">
      <w:pPr>
        <w:pStyle w:val="NormalWeb"/>
        <w:shd w:val="clear" w:color="auto" w:fill="FFFFFF"/>
        <w:spacing w:before="120" w:beforeAutospacing="0" w:after="0" w:afterAutospacing="0"/>
        <w:jc w:val="both"/>
        <w:textAlignment w:val="baseline"/>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lang w:val="tr-TR"/>
        </w:rPr>
        <w:t xml:space="preserve">Sermaye Piyasası Kurulu’nun VII-128.1 sayılı “Pay </w:t>
      </w:r>
      <w:proofErr w:type="spellStart"/>
      <w:r w:rsidRPr="00BC4205">
        <w:rPr>
          <w:rFonts w:ascii="Calibri" w:hAnsi="Calibri" w:cs="Calibri"/>
          <w:color w:val="262626" w:themeColor="text1" w:themeTint="D9"/>
          <w:sz w:val="22"/>
          <w:szCs w:val="22"/>
          <w:lang w:val="tr-TR"/>
        </w:rPr>
        <w:t>Tebliği”nin</w:t>
      </w:r>
      <w:proofErr w:type="spellEnd"/>
      <w:r w:rsidRPr="00BC4205">
        <w:rPr>
          <w:rFonts w:ascii="Calibri" w:hAnsi="Calibri" w:cs="Calibri"/>
          <w:color w:val="262626" w:themeColor="text1" w:themeTint="D9"/>
          <w:sz w:val="22"/>
          <w:szCs w:val="22"/>
          <w:lang w:val="tr-TR"/>
        </w:rPr>
        <w:t xml:space="preserve"> (Tebliğ) 18 ve 19’uncu maddeleri kapsamında, sermaye artırımında bulunan halka açık ortaklığın, artırılan sermayeyi temsil eden paylarını satın almadan önce,</w:t>
      </w:r>
      <w:r w:rsidRPr="00BC4205">
        <w:rPr>
          <w:rFonts w:ascii="Calibri" w:hAnsi="Calibri" w:cs="Calibri"/>
          <w:color w:val="262626" w:themeColor="text1" w:themeTint="D9"/>
          <w:sz w:val="22"/>
          <w:szCs w:val="22"/>
          <w:bdr w:val="none" w:sz="0" w:space="0" w:color="auto" w:frame="1"/>
          <w:lang w:val="tr-TR"/>
        </w:rPr>
        <w:t xml:space="preserve"> aşağıdaki olası riskler konusunda bilgi edinmeniz ve bilgilendirme metinlerinin tarafınızdan okunup anlaşıldığını beyan etmeniz gerekmektedir. Tebliğ’in söz konusu maddeleri kapsamında yapılacak her bir sermaye artırımı işleminde Yatırım Kuruluşu tarafından ilgili risk bildirim formları tarafınıza yeniden sunulacak ve onayınız alınacaktır. </w:t>
      </w:r>
    </w:p>
    <w:p w14:paraId="26FD6F1B" w14:textId="6B06D69B" w:rsidR="00636E11" w:rsidRPr="00B33FFC" w:rsidRDefault="00636E11" w:rsidP="00381398">
      <w:pPr>
        <w:pStyle w:val="Balk1"/>
        <w:jc w:val="center"/>
        <w:rPr>
          <w:rFonts w:ascii="Calibri" w:hAnsi="Calibri" w:cs="Calibri"/>
          <w:b/>
          <w:bCs/>
          <w:caps/>
          <w:color w:val="auto"/>
          <w:sz w:val="24"/>
          <w:szCs w:val="24"/>
        </w:rPr>
      </w:pPr>
      <w:bookmarkStart w:id="12" w:name="_FON_ÇIKIŞI_GEREKTİRMEYEN"/>
      <w:bookmarkEnd w:id="12"/>
      <w:r w:rsidRPr="00B33FFC">
        <w:rPr>
          <w:rFonts w:ascii="Calibri" w:hAnsi="Calibri" w:cs="Calibri"/>
          <w:b/>
          <w:bCs/>
          <w:caps/>
          <w:color w:val="auto"/>
          <w:sz w:val="24"/>
          <w:szCs w:val="24"/>
        </w:rPr>
        <w:t>FON ÇIKIŞI GEREKTİRMEYEN SERMAYE AZATIMI İLE EŞ ANLI OLARAK YA DA SERMAYE AZALTIMININ SONUÇLANMASINDAN İTİBAREN İKİ YIL İÇERİSİNDE YAPILACAK SERMAYE ARTIRIMI</w:t>
      </w:r>
      <w:r w:rsidR="00FB5A61" w:rsidRPr="00B33FFC">
        <w:rPr>
          <w:rFonts w:ascii="Calibri" w:hAnsi="Calibri" w:cs="Calibri"/>
          <w:b/>
          <w:bCs/>
          <w:caps/>
          <w:color w:val="auto"/>
          <w:sz w:val="24"/>
          <w:szCs w:val="24"/>
        </w:rPr>
        <w:t xml:space="preserve"> </w:t>
      </w:r>
      <w:r w:rsidRPr="00B33FFC">
        <w:rPr>
          <w:rFonts w:ascii="Calibri" w:hAnsi="Calibri" w:cs="Calibri"/>
          <w:b/>
          <w:bCs/>
          <w:caps/>
          <w:color w:val="auto"/>
          <w:sz w:val="24"/>
          <w:szCs w:val="24"/>
        </w:rPr>
        <w:t>RİSK BİLDİRİM FORMU</w:t>
      </w:r>
    </w:p>
    <w:p w14:paraId="639C38DF" w14:textId="77777777" w:rsidR="00636E11" w:rsidRPr="00BC4205" w:rsidRDefault="00636E11" w:rsidP="00636E11">
      <w:pPr>
        <w:shd w:val="clear" w:color="auto" w:fill="FFFFFF"/>
        <w:spacing w:before="120" w:after="0" w:line="240" w:lineRule="auto"/>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Önemli Açıklama</w:t>
      </w:r>
    </w:p>
    <w:p w14:paraId="7B3EA996"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Fon çıkışı gerektirmeyen sermaye azaltımı ile eş anlı olarak ya da sermaye azaltımının sonuçlanmasından itibaren iki yıl içerisinde yapılacak sermaye artırımında bulunan halka açık ortaklığın, artırılan sermayeyi temsil eden payları satın almanız sonucunda kâr edebileceğiniz gibi zarar riskiniz de bulunmaktadır. Bu nedenle, sermaye artımına katılma kararı vermeden önce, piyasada karşılaşabileceğiniz riskleri anlamanız, mali durumunuzu ve kısıtlarınızı dikkate alarak karar vermeniz gerekmektedir. </w:t>
      </w:r>
    </w:p>
    <w:p w14:paraId="2DFCD2E2"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Bu amaçla, Sermaye Piyasası Kurulu’nun VII-128.1 sayılı “Pay </w:t>
      </w:r>
      <w:proofErr w:type="spellStart"/>
      <w:r w:rsidRPr="00BC4205">
        <w:rPr>
          <w:rFonts w:cs="Calibri"/>
          <w:color w:val="262626" w:themeColor="text1" w:themeTint="D9"/>
        </w:rPr>
        <w:t>Tebliği”nin</w:t>
      </w:r>
      <w:proofErr w:type="spellEnd"/>
      <w:r w:rsidRPr="00BC4205">
        <w:rPr>
          <w:rFonts w:cs="Calibri"/>
          <w:color w:val="262626" w:themeColor="text1" w:themeTint="D9"/>
        </w:rPr>
        <w:t xml:space="preserve"> (Tebliğ) 19. maddesinde belirtildiği üzere bu “Risk Bildirim </w:t>
      </w:r>
      <w:proofErr w:type="spellStart"/>
      <w:r w:rsidRPr="00BC4205">
        <w:rPr>
          <w:rFonts w:cs="Calibri"/>
          <w:color w:val="262626" w:themeColor="text1" w:themeTint="D9"/>
        </w:rPr>
        <w:t>Formu”nda</w:t>
      </w:r>
      <w:proofErr w:type="spellEnd"/>
      <w:r w:rsidRPr="00BC4205">
        <w:rPr>
          <w:rFonts w:cs="Calibri"/>
          <w:color w:val="262626" w:themeColor="text1" w:themeTint="D9"/>
        </w:rPr>
        <w:t xml:space="preserve"> yer alan aşağıdaki hususları anlamanız gerekmektedir.</w:t>
      </w:r>
    </w:p>
    <w:p w14:paraId="5732F773"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Uyarı</w:t>
      </w:r>
    </w:p>
    <w:p w14:paraId="594BDE54"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İşlem yapmaya başlamadan önce; fon çıkışı gerektirmeyen sermaye azaltımı ile eş anlı olarak ya da sermaye azaltımının sonuçlanmasından itibaren iki yıl içerisinde yapılacak sermaye artırımında bulunan ortaklığın, payları borsada işlem gören halka açık ortaklık statüsünde olup olmadığını, sermaye azaltımı ve sermaye artırımına ilişkin ortaklık esas sözleşme değişikliği hakkında Sermaye Piyasası Kurulu’nun uygun görüşü olup olmadığını, payları satın almanıza aracılık eden yatırım kuruluşunun yatırım hizmetleri ve faaliyetlerinde bulunmaya yetkili olup olmadığını www.spk.gov.tr, www.borsaistanbul.com ve www.kap.gov.tr internet sitelerinden veya diğer iletişim araçlarıyla kontrol ediniz.</w:t>
      </w:r>
    </w:p>
    <w:p w14:paraId="4E9D1767"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Genel Bilgi</w:t>
      </w:r>
    </w:p>
    <w:p w14:paraId="7B97B0EB"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Sermaye azaltımı en genel ifadeyle, şirket esas sözleşmesinde yazılı olan muayyen sermayenin toplam itibari değerinin rakamsal olarak azaltılmasıdır. Sermaye azaltımının başlıca iki temel sebebi bulunmaktadır. Bunlar, sermayenin gerçek ihtiyacının üzerinde olması ve bilanço açığının (geçmiş yıl zararları ile dönem zararlarının toplamı) kapatılmasıdır.</w:t>
      </w:r>
    </w:p>
    <w:p w14:paraId="056B13CC"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Anonim şirketlerde sermaye azaltımı değişik yöntemler uygulanarak yapılabilir. Bu yöntemler;</w:t>
      </w:r>
    </w:p>
    <w:p w14:paraId="77E3264A" w14:textId="77777777" w:rsidR="00636E11" w:rsidRPr="00BC4205" w:rsidRDefault="00636E11" w:rsidP="00636E11">
      <w:pPr>
        <w:spacing w:before="120" w:after="0" w:line="240" w:lineRule="auto"/>
        <w:ind w:right="51"/>
        <w:jc w:val="both"/>
        <w:rPr>
          <w:rFonts w:cs="Calibri"/>
          <w:color w:val="262626" w:themeColor="text1" w:themeTint="D9"/>
        </w:rPr>
      </w:pPr>
      <w:r w:rsidRPr="00BC4205">
        <w:rPr>
          <w:rFonts w:cs="Calibri"/>
          <w:color w:val="262626" w:themeColor="text1" w:themeTint="D9"/>
        </w:rPr>
        <w:t>- Payların itibari değerinin düşürülmesi,</w:t>
      </w:r>
    </w:p>
    <w:p w14:paraId="6040D307" w14:textId="77777777" w:rsidR="00636E11" w:rsidRPr="00BC4205" w:rsidRDefault="00636E11" w:rsidP="00636E11">
      <w:pPr>
        <w:spacing w:before="120" w:after="0" w:line="240" w:lineRule="auto"/>
        <w:ind w:right="51"/>
        <w:jc w:val="both"/>
        <w:rPr>
          <w:rFonts w:cs="Calibri"/>
          <w:color w:val="262626" w:themeColor="text1" w:themeTint="D9"/>
        </w:rPr>
      </w:pPr>
      <w:r w:rsidRPr="00BC4205">
        <w:rPr>
          <w:rFonts w:cs="Calibri"/>
          <w:color w:val="262626" w:themeColor="text1" w:themeTint="D9"/>
        </w:rPr>
        <w:t>- Pay sayılarının azaltılması yani payların birleştirilmesi veya yok edilmesidir.</w:t>
      </w:r>
    </w:p>
    <w:p w14:paraId="31EC8DFC"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SPK tarafından yayımlanan VII-128.1 sayılı “Pay </w:t>
      </w:r>
      <w:proofErr w:type="spellStart"/>
      <w:r w:rsidRPr="00BC4205">
        <w:rPr>
          <w:rFonts w:cs="Calibri"/>
          <w:color w:val="262626" w:themeColor="text1" w:themeTint="D9"/>
        </w:rPr>
        <w:t>Tebliği”nin</w:t>
      </w:r>
      <w:proofErr w:type="spellEnd"/>
      <w:r w:rsidRPr="00BC4205">
        <w:rPr>
          <w:rFonts w:cs="Calibri"/>
          <w:color w:val="262626" w:themeColor="text1" w:themeTint="D9"/>
        </w:rPr>
        <w:t xml:space="preserve"> 19’uncu maddesinde fon çıkışı gerektirmeyen sermaye azaltımı ile eş anlı olarak ya da sermaye azaltımının sonuçlanmasından itibaren iki yıl içerisinde yapılacak sermaye artırımına ilişkin şartlar düzenlenmiştir. Buna göre;</w:t>
      </w:r>
    </w:p>
    <w:p w14:paraId="5B0FB93D" w14:textId="77777777" w:rsidR="00636E11" w:rsidRPr="00BC4205" w:rsidRDefault="00636E11" w:rsidP="00636E11">
      <w:pPr>
        <w:pStyle w:val="NormalWeb"/>
        <w:numPr>
          <w:ilvl w:val="0"/>
          <w:numId w:val="3"/>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Payları borsada nominal değerinin altında işlem gören ortaklıklar bilanço açığının kapatılması amacıyla sermaye azaltımı yapabilir. Yapılacak sermaye azaltımı ile münhasıran bilanço açığı kapatılır.</w:t>
      </w:r>
    </w:p>
    <w:p w14:paraId="054237F3" w14:textId="77777777" w:rsidR="00636E11" w:rsidRPr="00BC4205" w:rsidRDefault="00636E11" w:rsidP="00636E11">
      <w:pPr>
        <w:pStyle w:val="NormalWeb"/>
        <w:numPr>
          <w:ilvl w:val="0"/>
          <w:numId w:val="3"/>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lastRenderedPageBreak/>
        <w:t>Sermaye azaltımına konu tutarın, yapılacak sermaye azaltımı sonrasında hesaplanacak payların düzeltilmiş borsa fiyatının payların nominal değerinin %20’sini aşmayacak şekilde belirlenmesi zorunludur.</w:t>
      </w:r>
    </w:p>
    <w:p w14:paraId="58691023" w14:textId="77777777" w:rsidR="00636E11" w:rsidRPr="00BC4205" w:rsidRDefault="00636E11" w:rsidP="00636E11">
      <w:pPr>
        <w:pStyle w:val="NormalWeb"/>
        <w:numPr>
          <w:ilvl w:val="0"/>
          <w:numId w:val="3"/>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 xml:space="preserve">Ortaklıkların bilanço açığının bulunmaması veya yapılacak sermaye azaltım tutarının bilanço açığından fazla olması durumunda, ortaya çıkacak olan fazlalık için sermaye azaltımı ile sermaye artırımına eş anlı olarak karar verilmesi gerekir. Bu takdirde yapılacak sermaye artırımının asgari olarak söz konusu fark kadar fazla olması zorunludur. Sermaye artırımına ilişkin izahnamenin </w:t>
      </w:r>
      <w:proofErr w:type="spellStart"/>
      <w:r w:rsidRPr="00BC4205">
        <w:rPr>
          <w:rFonts w:ascii="Calibri" w:hAnsi="Calibri" w:cs="Calibri"/>
          <w:color w:val="262626" w:themeColor="text1" w:themeTint="D9"/>
          <w:sz w:val="22"/>
          <w:szCs w:val="22"/>
          <w:bdr w:val="none" w:sz="0" w:space="0" w:color="auto" w:frame="1"/>
          <w:lang w:val="tr-TR"/>
        </w:rPr>
        <w:t>SPK’ca</w:t>
      </w:r>
      <w:proofErr w:type="spellEnd"/>
      <w:r w:rsidRPr="00BC4205">
        <w:rPr>
          <w:rFonts w:ascii="Calibri" w:hAnsi="Calibri" w:cs="Calibri"/>
          <w:color w:val="262626" w:themeColor="text1" w:themeTint="D9"/>
          <w:sz w:val="22"/>
          <w:szCs w:val="22"/>
          <w:bdr w:val="none" w:sz="0" w:space="0" w:color="auto" w:frame="1"/>
          <w:lang w:val="tr-TR"/>
        </w:rPr>
        <w:t xml:space="preserve"> onaylanmasına ilişkin başvuru sermaye azaltımına ilişkin olarak SPK’ya yapılacak başvuru ile birlikte yapılır.</w:t>
      </w:r>
    </w:p>
    <w:p w14:paraId="519CE4A8" w14:textId="77777777" w:rsidR="00636E11" w:rsidRPr="00BC4205" w:rsidRDefault="00636E11" w:rsidP="00636E11">
      <w:pPr>
        <w:pStyle w:val="NormalWeb"/>
        <w:numPr>
          <w:ilvl w:val="0"/>
          <w:numId w:val="3"/>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lang w:val="tr-TR"/>
        </w:rPr>
      </w:pPr>
      <w:r w:rsidRPr="00BC4205">
        <w:rPr>
          <w:rFonts w:ascii="Calibri" w:hAnsi="Calibri" w:cs="Calibri"/>
          <w:color w:val="262626" w:themeColor="text1" w:themeTint="D9"/>
          <w:sz w:val="22"/>
          <w:szCs w:val="22"/>
          <w:bdr w:val="none" w:sz="0" w:space="0" w:color="auto" w:frame="1"/>
          <w:lang w:val="tr-TR"/>
        </w:rPr>
        <w:t>Fon çıkışı</w:t>
      </w:r>
      <w:r w:rsidRPr="00BC4205">
        <w:rPr>
          <w:rFonts w:ascii="Calibri" w:hAnsi="Calibri" w:cs="Calibri"/>
          <w:color w:val="262626" w:themeColor="text1" w:themeTint="D9"/>
          <w:sz w:val="22"/>
          <w:szCs w:val="22"/>
          <w:lang w:val="tr-TR"/>
        </w:rPr>
        <w:t xml:space="preserve"> gerektirmeyen sermaye azaltımları, sadece pay sayısının azaltılması suretiyle yapılabilir.</w:t>
      </w:r>
    </w:p>
    <w:p w14:paraId="0AFCE7FC"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Fon çıkışı gerektirmeyen sermaye azaltımı ile eş anlı olarak ya da sermaye azaltımının sonuçlanmasından itibaren iki yıl içerisinde yapılacak sermaye artırımına ilişkin Pay Tebliği’nde belirtilen diğer bilgilere www.spk.gov.tr adresindeki mevzuat sayfasından ulaşmanız mümkündür.</w:t>
      </w:r>
    </w:p>
    <w:p w14:paraId="235C780E"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RİSK BİLDİRİMİ</w:t>
      </w:r>
    </w:p>
    <w:p w14:paraId="2D766BD5" w14:textId="77777777" w:rsidR="00636E11" w:rsidRPr="00BC4205" w:rsidRDefault="00636E11" w:rsidP="00636E11">
      <w:pPr>
        <w:pStyle w:val="NormalWeb"/>
        <w:numPr>
          <w:ilvl w:val="0"/>
          <w:numId w:val="6"/>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Yatırım kuruluşu nezdinde açtıracağınız hesap ve bu hesap üzerinden gerçekleştirilecek tüm işlemler için Sermaye Piyasası Kurulu, Borsalar, Merkezi Takas Kuruluşları, Merkezi Saklama Kuruluşları ve Merkezi Kayıt Kuruluşu tarafından çıkartılan ilgili her türlü mevzuat ve benzeri tüm idari düzenleme hükümleri uygulanacaktır.</w:t>
      </w:r>
    </w:p>
    <w:p w14:paraId="33138D71" w14:textId="77777777" w:rsidR="00636E11" w:rsidRPr="00BC4205" w:rsidRDefault="00636E11" w:rsidP="00636E11">
      <w:pPr>
        <w:pStyle w:val="NormalWeb"/>
        <w:numPr>
          <w:ilvl w:val="0"/>
          <w:numId w:val="6"/>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İşlemlerinize başlamadan önce, yatırım kuruluşunuzdan yükümlü olacağınız bütün komisyon ve diğer muamele ücretleri konusunda teyit almalısınız. Eğer ücretler parasal olarak ifade edilmemişse, ücretlerin parasal olarak size nasıl yansıyacağı ile ilgili anlaşılır örnekler içeren yazılı bir açıklama talep etmelisiniz.</w:t>
      </w:r>
    </w:p>
    <w:p w14:paraId="1025F155" w14:textId="77777777" w:rsidR="00636E11" w:rsidRPr="00BC4205" w:rsidRDefault="00636E11" w:rsidP="00636E11">
      <w:pPr>
        <w:pStyle w:val="NormalWeb"/>
        <w:numPr>
          <w:ilvl w:val="0"/>
          <w:numId w:val="6"/>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Fon çıkışı gerektirmeyen sermaye azaltımı ile eş anlı olarak ya da sermaye azaltımının sonuçlanmasından itibaren iki yıl içerisinde yapılacak sermaye artırımında bulunan halka açık ortaklığın, artırılan sermayeyi temsil eden paylarını satın almanız çeşitli risklere tabidir. Piyasada oluşacak fiyat hareketleri sonucunda yatırım kuruluşuna yatırdığınız paranın tümünü kaybedebileceğiniz gibi, kayıplarınız yapacağınız işlemin türüne göre yatırdığınız para tutarını dahi aşabilecektir.</w:t>
      </w:r>
    </w:p>
    <w:p w14:paraId="1AA81615" w14:textId="77777777" w:rsidR="00636E11" w:rsidRPr="00BC4205" w:rsidRDefault="00636E11" w:rsidP="00636E11">
      <w:pPr>
        <w:pStyle w:val="NormalWeb"/>
        <w:numPr>
          <w:ilvl w:val="0"/>
          <w:numId w:val="6"/>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Kredili işlem veya açığa satış gibi işlemlerde kaldıraç etkisi nedeniyle, düşük öz kaynakla işlem yapmanın piyasada lehe çalışabileceği gibi aleyhe de çalışabileceği ve bu anlamda kaldıraç etkisinin tarafınıza yüksek kazançlar sağlayabileceği gibi zararlara da yol açabileceği ihtimali göz önünde bulundurulmalıdır.</w:t>
      </w:r>
    </w:p>
    <w:p w14:paraId="3D63F30E" w14:textId="77777777" w:rsidR="00636E11" w:rsidRPr="00BC4205" w:rsidRDefault="00636E11" w:rsidP="00636E11">
      <w:pPr>
        <w:pStyle w:val="NormalWeb"/>
        <w:numPr>
          <w:ilvl w:val="0"/>
          <w:numId w:val="6"/>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Yatırım kuruluşunun, fon çıkışı gerektirmeyen sermaye azaltımı ile eş anlı olarak ya da sermaye azaltımının sonuçlanmasından itibaren iki yıl içerisinde yapılacak sermaye artırımında bulunan halka açık ortaklık ve bu ortaklığın payları hakkında tarafınıza aktaracağı bilgiler ve yapacağı tavsiyelerin eksik ve doğrulamaya muhtaç olabileceği tarafınızca dikkate alınmalıdır.</w:t>
      </w:r>
    </w:p>
    <w:p w14:paraId="3E70283E" w14:textId="77777777" w:rsidR="00636E11" w:rsidRPr="00BC4205" w:rsidRDefault="00636E11" w:rsidP="00636E11">
      <w:pPr>
        <w:pStyle w:val="NormalWeb"/>
        <w:numPr>
          <w:ilvl w:val="0"/>
          <w:numId w:val="6"/>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Fon çıkışı gerektirmeyen sermaye azaltımı ile eş anlı olarak ya da sermaye azaltımının sonuçlanmasından itibaren iki yıl içerisinde yapılacak sermaye artırımında bulunan halka açık ortaklığın paylarının alım satımına ilişkin olarak yatırım kuruluşun yetkili personelince yapılacak teknik ve temel analizin kişiden kişiye farklılık arz edebileceği ve bu analizlerde yapılan öngörülerin kesin olarak gerçekleşmeme olasılığının bulunduğu dikkate alınmalıdır.</w:t>
      </w:r>
    </w:p>
    <w:p w14:paraId="6FC4A94A" w14:textId="77777777" w:rsidR="00636E11" w:rsidRPr="00BC4205" w:rsidRDefault="00636E11" w:rsidP="00636E11">
      <w:pPr>
        <w:pStyle w:val="NormalWeb"/>
        <w:numPr>
          <w:ilvl w:val="0"/>
          <w:numId w:val="6"/>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Fon çıkışı gerektirmeyen sermaye azaltımı ile eş anlı olarak ya da sermaye azaltımının sonuçlanmasından itibaren iki yıl içerisinde yapılacak sermaye artırımında bulunan halka açık ortaklığın Sermaye Piyasası Kurulu ve Borsa İstanbul A.Ş. düzenlemelerine uymaması halinde, ortaklık paylarının işlem sırasının geçici veya sürekli olarak durdurulabileceği dikkate alınmalıdır.</w:t>
      </w:r>
    </w:p>
    <w:p w14:paraId="669F62C2" w14:textId="77777777" w:rsidR="00636E11" w:rsidRPr="00BC4205" w:rsidRDefault="00636E11" w:rsidP="00636E11">
      <w:pPr>
        <w:pStyle w:val="NormalWeb"/>
        <w:numPr>
          <w:ilvl w:val="0"/>
          <w:numId w:val="6"/>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lastRenderedPageBreak/>
        <w:t>Finansal bilgileriniz, sermaye artırım sürecindeki gelişmeleri takip edemeyecek seviyede ise yatırım danışmanlarından destek almanız ya da yatırımlarınızı kurumsal yatırımcıların sunduğu ürünler üzerinden yapmanız uygun olacaktır.</w:t>
      </w:r>
    </w:p>
    <w:p w14:paraId="0B9C9574" w14:textId="77777777" w:rsidR="00636E11" w:rsidRPr="00BC4205" w:rsidRDefault="00636E11" w:rsidP="00636E11">
      <w:pPr>
        <w:pStyle w:val="NormalWeb"/>
        <w:numPr>
          <w:ilvl w:val="0"/>
          <w:numId w:val="6"/>
        </w:numPr>
        <w:shd w:val="clear" w:color="auto" w:fill="FFFFFF"/>
        <w:spacing w:before="120" w:beforeAutospacing="0" w:after="0" w:afterAutospacing="0"/>
        <w:ind w:left="284" w:right="51" w:hanging="284"/>
        <w:jc w:val="both"/>
        <w:rPr>
          <w:rFonts w:ascii="Calibri" w:hAnsi="Calibri" w:cs="Calibri"/>
          <w:color w:val="262626" w:themeColor="text1" w:themeTint="D9"/>
          <w:sz w:val="22"/>
          <w:szCs w:val="22"/>
          <w:bdr w:val="none" w:sz="0" w:space="0" w:color="auto" w:frame="1"/>
          <w:lang w:val="tr-TR"/>
        </w:rPr>
      </w:pPr>
      <w:r w:rsidRPr="00BC4205">
        <w:rPr>
          <w:rFonts w:ascii="Calibri" w:hAnsi="Calibri" w:cs="Calibri"/>
          <w:color w:val="262626" w:themeColor="text1" w:themeTint="D9"/>
          <w:sz w:val="22"/>
          <w:szCs w:val="22"/>
          <w:bdr w:val="none" w:sz="0" w:space="0" w:color="auto" w:frame="1"/>
          <w:lang w:val="tr-TR"/>
        </w:rPr>
        <w:t xml:space="preserve">Yatırım yaptığınız ortaklığın, fon çıkışı gerektirmeyen sermaye azaltımı ile eş anlı olarak ya da sermaye azaltımının sonuçlanmasından itibaren iki yıl içerisinde yapılacak sermaye artırım sürecini www.kap.gov.tr adresinden takip etmeniz gerekmektedir. </w:t>
      </w:r>
    </w:p>
    <w:p w14:paraId="111E48FA" w14:textId="77777777" w:rsidR="00636E11" w:rsidRPr="00BC4205" w:rsidRDefault="00636E11" w:rsidP="00636E11">
      <w:pPr>
        <w:pStyle w:val="NormalWeb"/>
        <w:shd w:val="clear" w:color="auto" w:fill="FFFFFF"/>
        <w:spacing w:before="120" w:beforeAutospacing="0" w:after="0" w:afterAutospacing="0"/>
        <w:ind w:right="51"/>
        <w:jc w:val="both"/>
        <w:rPr>
          <w:rFonts w:ascii="Calibri" w:hAnsi="Calibri" w:cs="Calibri"/>
          <w:b/>
          <w:color w:val="262626" w:themeColor="text1" w:themeTint="D9"/>
          <w:sz w:val="22"/>
          <w:szCs w:val="22"/>
          <w:bdr w:val="none" w:sz="0" w:space="0" w:color="auto" w:frame="1"/>
          <w:lang w:val="tr-TR"/>
        </w:rPr>
      </w:pPr>
      <w:r w:rsidRPr="00BC4205">
        <w:rPr>
          <w:rFonts w:ascii="Calibri" w:hAnsi="Calibri" w:cs="Calibri"/>
          <w:b/>
          <w:color w:val="262626" w:themeColor="text1" w:themeTint="D9"/>
          <w:sz w:val="22"/>
          <w:szCs w:val="22"/>
          <w:bdr w:val="none" w:sz="0" w:space="0" w:color="auto" w:frame="1"/>
          <w:lang w:val="tr-TR"/>
        </w:rPr>
        <w:t>İşbu fon çıkışı gerektirmeyen sermaye azaltımı ile eş anlı olarak ya da sermaye azaltımının sonuçlanmasından itibaren iki yıl içerisinde yapılacak sermaye artırımı risk bildirim formu, yatırımcıyı genel olarak mevcut riskler hakkında bilgilendirmeyi amaçlamakta olup, sermaye artırımda bulunan ortaklık ve bu ortaklığın paylarının alım satımından ve uygulamadan kaynaklanabilecek tüm riskleri kapsamayabilir. Dolayısıyla tasarruflarınızı bu tip yatırımlara yönlendirmeden önce dikkatli bir şekilde araştırma yapmalısınız.</w:t>
      </w:r>
    </w:p>
    <w:p w14:paraId="026BDEC7" w14:textId="66F2A2BB" w:rsidR="00F24780" w:rsidRPr="00776A7F" w:rsidRDefault="00636E11" w:rsidP="00A774C9">
      <w:pPr>
        <w:pStyle w:val="Balk1"/>
        <w:contextualSpacing/>
        <w:jc w:val="center"/>
        <w:rPr>
          <w:rFonts w:ascii="Calibri" w:hAnsi="Calibri" w:cs="Calibri"/>
          <w:b/>
          <w:bCs/>
          <w:color w:val="auto"/>
          <w:sz w:val="24"/>
          <w:szCs w:val="24"/>
        </w:rPr>
      </w:pPr>
      <w:bookmarkStart w:id="13" w:name="_NOMİNAL_DEĞERİN_ALTINDA"/>
      <w:bookmarkEnd w:id="13"/>
      <w:r w:rsidRPr="00776A7F">
        <w:rPr>
          <w:rFonts w:ascii="Calibri" w:hAnsi="Calibri" w:cs="Calibri"/>
          <w:b/>
          <w:bCs/>
          <w:color w:val="auto"/>
          <w:sz w:val="24"/>
          <w:szCs w:val="24"/>
        </w:rPr>
        <w:t>NOMİNAL DEĞERİN ALTINDA PAY İHRACI YOLUYLA SERMAYE ARTIRIMI</w:t>
      </w:r>
    </w:p>
    <w:p w14:paraId="51E25D62" w14:textId="282A8638" w:rsidR="00636E11" w:rsidRPr="00776A7F" w:rsidRDefault="00636E11" w:rsidP="00A774C9">
      <w:pPr>
        <w:pStyle w:val="Balk1"/>
        <w:contextualSpacing/>
        <w:jc w:val="center"/>
        <w:rPr>
          <w:rFonts w:ascii="Calibri" w:hAnsi="Calibri" w:cs="Calibri"/>
          <w:b/>
          <w:bCs/>
          <w:color w:val="auto"/>
          <w:sz w:val="24"/>
          <w:szCs w:val="24"/>
        </w:rPr>
      </w:pPr>
      <w:r w:rsidRPr="00776A7F">
        <w:rPr>
          <w:rFonts w:ascii="Calibri" w:hAnsi="Calibri" w:cs="Calibri"/>
          <w:b/>
          <w:bCs/>
          <w:color w:val="auto"/>
          <w:sz w:val="24"/>
          <w:szCs w:val="24"/>
        </w:rPr>
        <w:t>RİSK BİLDİRİM FORMU</w:t>
      </w:r>
    </w:p>
    <w:p w14:paraId="74256C23" w14:textId="77777777" w:rsidR="00636E11" w:rsidRPr="00BC4205" w:rsidRDefault="00636E11" w:rsidP="00636E11">
      <w:pPr>
        <w:shd w:val="clear" w:color="auto" w:fill="FFFFFF"/>
        <w:spacing w:before="120" w:after="0" w:line="240" w:lineRule="auto"/>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Önemli Açıklama</w:t>
      </w:r>
    </w:p>
    <w:p w14:paraId="5AB27E5D" w14:textId="77777777" w:rsidR="00636E11" w:rsidRPr="00BC4205" w:rsidRDefault="00636E11" w:rsidP="00636E11">
      <w:pPr>
        <w:autoSpaceDE w:val="0"/>
        <w:autoSpaceDN w:val="0"/>
        <w:adjustRightInd w:val="0"/>
        <w:spacing w:before="120" w:after="0" w:line="240" w:lineRule="auto"/>
        <w:ind w:right="50"/>
        <w:jc w:val="both"/>
        <w:rPr>
          <w:rFonts w:cs="Calibri"/>
          <w:color w:val="262626" w:themeColor="text1" w:themeTint="D9"/>
        </w:rPr>
      </w:pPr>
      <w:r w:rsidRPr="00BC4205">
        <w:rPr>
          <w:rFonts w:cs="Calibri"/>
          <w:color w:val="262626" w:themeColor="text1" w:themeTint="D9"/>
        </w:rPr>
        <w:t>Nominal değerin altında pay ihracı yoluyla sermaye artırımında bulunan halka açık ortaklığın, artırılan sermayeyi temsil eden payları satın almanız sonucunda kâr edebileceğiniz gibi zarar riskiniz de bulunmaktadır. Bu nedenle, sermaye artımına katılma kararı vermeden önce, piyasada karşılaşabileceğiniz riskleri anlamanız, mali durumunuzu ve kısıtlarınızı dikkate alarak karar vermeniz gerekmektedir.</w:t>
      </w:r>
    </w:p>
    <w:p w14:paraId="0CA6952C" w14:textId="77777777" w:rsidR="00636E11" w:rsidRPr="00BC4205" w:rsidRDefault="00636E11" w:rsidP="00636E11">
      <w:pPr>
        <w:autoSpaceDE w:val="0"/>
        <w:autoSpaceDN w:val="0"/>
        <w:adjustRightInd w:val="0"/>
        <w:spacing w:before="120" w:after="0" w:line="240" w:lineRule="auto"/>
        <w:ind w:right="50"/>
        <w:jc w:val="both"/>
        <w:rPr>
          <w:rFonts w:cs="Calibri"/>
          <w:color w:val="262626" w:themeColor="text1" w:themeTint="D9"/>
        </w:rPr>
      </w:pPr>
      <w:r w:rsidRPr="00BC4205">
        <w:rPr>
          <w:rFonts w:cs="Calibri"/>
          <w:color w:val="262626" w:themeColor="text1" w:themeTint="D9"/>
        </w:rPr>
        <w:t xml:space="preserve">Bu amaçla, Sermaye Piyasası Kurulu’nun VII-128.1 sayılı “Pay </w:t>
      </w:r>
      <w:proofErr w:type="spellStart"/>
      <w:r w:rsidRPr="00BC4205">
        <w:rPr>
          <w:rFonts w:cs="Calibri"/>
          <w:color w:val="262626" w:themeColor="text1" w:themeTint="D9"/>
        </w:rPr>
        <w:t>Tebliği”nin</w:t>
      </w:r>
      <w:proofErr w:type="spellEnd"/>
      <w:r w:rsidRPr="00BC4205">
        <w:rPr>
          <w:rFonts w:cs="Calibri"/>
          <w:color w:val="262626" w:themeColor="text1" w:themeTint="D9"/>
        </w:rPr>
        <w:t xml:space="preserve"> (Tebliğ) 18. maddesinde belirtildiği üzere bu “Risk Bildirim </w:t>
      </w:r>
      <w:proofErr w:type="spellStart"/>
      <w:r w:rsidRPr="00BC4205">
        <w:rPr>
          <w:rFonts w:cs="Calibri"/>
          <w:color w:val="262626" w:themeColor="text1" w:themeTint="D9"/>
        </w:rPr>
        <w:t>Formu”nda</w:t>
      </w:r>
      <w:proofErr w:type="spellEnd"/>
      <w:r w:rsidRPr="00BC4205">
        <w:rPr>
          <w:rFonts w:cs="Calibri"/>
          <w:color w:val="262626" w:themeColor="text1" w:themeTint="D9"/>
        </w:rPr>
        <w:t xml:space="preserve"> yer alan aşağıdaki hususları anlamanız gerekmektedir.</w:t>
      </w:r>
    </w:p>
    <w:p w14:paraId="6DB57539"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Uyarı</w:t>
      </w:r>
    </w:p>
    <w:p w14:paraId="655F0D68" w14:textId="77777777" w:rsidR="00636E11" w:rsidRPr="00BC4205" w:rsidRDefault="00636E11" w:rsidP="00636E11">
      <w:pPr>
        <w:autoSpaceDE w:val="0"/>
        <w:autoSpaceDN w:val="0"/>
        <w:adjustRightInd w:val="0"/>
        <w:spacing w:before="120" w:after="0" w:line="240" w:lineRule="auto"/>
        <w:ind w:right="50"/>
        <w:jc w:val="both"/>
        <w:rPr>
          <w:rFonts w:cs="Calibri"/>
          <w:color w:val="262626" w:themeColor="text1" w:themeTint="D9"/>
        </w:rPr>
      </w:pPr>
      <w:r w:rsidRPr="00BC4205">
        <w:rPr>
          <w:rFonts w:cs="Calibri"/>
          <w:color w:val="262626" w:themeColor="text1" w:themeTint="D9"/>
        </w:rPr>
        <w:t xml:space="preserve">İşlem yapmaya başlamadan önce; nominal değerin altında pay ihracı yoluyla sermaye artırımında bulunan ortaklığın, payları borsada işlem gören halka açık ortaklık statüsünde olup olmadığını, nominal değerin altında pay ihracına ilişkin Sermaye Piyasası Kurulu’ndan izin alınıp alınmadığını, payları satın almanıza aracılık eden yatırım kuruluşunun yatırım hizmetleri ve faaliyetlerinde bulunmaya yetkili olup olmadığını </w:t>
      </w:r>
      <w:hyperlink r:id="rId13" w:history="1">
        <w:r w:rsidRPr="00BC4205">
          <w:rPr>
            <w:rStyle w:val="Kpr"/>
            <w:rFonts w:cs="Calibri"/>
          </w:rPr>
          <w:t>www.spk.gov.tr</w:t>
        </w:r>
      </w:hyperlink>
      <w:r w:rsidRPr="00BC4205">
        <w:rPr>
          <w:rFonts w:cs="Calibri"/>
          <w:color w:val="000000"/>
        </w:rPr>
        <w:t xml:space="preserve">, </w:t>
      </w:r>
      <w:hyperlink r:id="rId14" w:history="1">
        <w:r w:rsidRPr="00BC4205">
          <w:rPr>
            <w:rStyle w:val="Kpr"/>
            <w:rFonts w:cs="Calibri"/>
          </w:rPr>
          <w:t>www.borsaistanbul.com</w:t>
        </w:r>
      </w:hyperlink>
      <w:r w:rsidRPr="00BC4205">
        <w:rPr>
          <w:rFonts w:cs="Calibri"/>
          <w:color w:val="0000FF"/>
        </w:rPr>
        <w:t xml:space="preserve"> </w:t>
      </w:r>
      <w:r w:rsidRPr="00BC4205">
        <w:rPr>
          <w:rFonts w:cs="Calibri"/>
          <w:color w:val="262626" w:themeColor="text1" w:themeTint="D9"/>
        </w:rPr>
        <w:t>ve</w:t>
      </w:r>
      <w:r w:rsidRPr="00BC4205">
        <w:rPr>
          <w:rFonts w:cs="Calibri"/>
          <w:color w:val="000000"/>
        </w:rPr>
        <w:t xml:space="preserve"> </w:t>
      </w:r>
      <w:hyperlink r:id="rId15" w:history="1">
        <w:r w:rsidRPr="00BC4205">
          <w:rPr>
            <w:rStyle w:val="Kpr"/>
            <w:rFonts w:cs="Calibri"/>
          </w:rPr>
          <w:t>www.kap.gov.tr</w:t>
        </w:r>
      </w:hyperlink>
      <w:r w:rsidRPr="00BC4205">
        <w:rPr>
          <w:rFonts w:cs="Calibri"/>
          <w:color w:val="0000FF"/>
        </w:rPr>
        <w:t xml:space="preserve"> </w:t>
      </w:r>
      <w:r w:rsidRPr="00BC4205">
        <w:rPr>
          <w:rFonts w:cs="Calibri"/>
          <w:color w:val="262626" w:themeColor="text1" w:themeTint="D9"/>
        </w:rPr>
        <w:t>internet sitelerinden veya diğer iletişim araçlarıyla kontrol ediniz.</w:t>
      </w:r>
    </w:p>
    <w:p w14:paraId="0A9238CF"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Genel Bilgi</w:t>
      </w:r>
    </w:p>
    <w:p w14:paraId="269A1180" w14:textId="77777777" w:rsidR="00636E11" w:rsidRPr="00BC4205" w:rsidRDefault="00636E11" w:rsidP="00636E11">
      <w:pPr>
        <w:autoSpaceDE w:val="0"/>
        <w:autoSpaceDN w:val="0"/>
        <w:adjustRightInd w:val="0"/>
        <w:spacing w:before="120" w:after="0" w:line="240" w:lineRule="auto"/>
        <w:ind w:right="50"/>
        <w:jc w:val="both"/>
        <w:rPr>
          <w:rFonts w:cs="Calibri"/>
          <w:color w:val="262626" w:themeColor="text1" w:themeTint="D9"/>
        </w:rPr>
      </w:pPr>
      <w:r w:rsidRPr="00BC4205">
        <w:rPr>
          <w:rFonts w:cs="Calibri"/>
          <w:color w:val="262626" w:themeColor="text1" w:themeTint="D9"/>
        </w:rPr>
        <w:t>Anonim şirketlerle ilgili genel düzenlemeleri içeren Türk Ticaret Kanunu, itibarî (nominal) değerinden aşağı bedelle pay çıkarılmasını yasaklamaktadır. Bu durum piyasa fiyatı, itibarî (nominal) değerinin altına düşen halka açık şirketlerin itibarî (nominal) değerin altında bir bedelle nakit sermaye artırımı yapmalarına imkân vermemekte ve sermaye ihtiyacı olan bu şirketleri zor durumda bırakabilmektedir.</w:t>
      </w:r>
    </w:p>
    <w:p w14:paraId="7F9E2D18" w14:textId="77777777" w:rsidR="00636E11" w:rsidRPr="00BC4205" w:rsidRDefault="00636E11" w:rsidP="00636E11">
      <w:pPr>
        <w:autoSpaceDE w:val="0"/>
        <w:autoSpaceDN w:val="0"/>
        <w:adjustRightInd w:val="0"/>
        <w:spacing w:before="120" w:after="0" w:line="240" w:lineRule="auto"/>
        <w:ind w:right="50"/>
        <w:jc w:val="both"/>
        <w:rPr>
          <w:rFonts w:cs="Calibri"/>
          <w:color w:val="262626" w:themeColor="text1" w:themeTint="D9"/>
        </w:rPr>
      </w:pPr>
      <w:r w:rsidRPr="00BC4205">
        <w:rPr>
          <w:rFonts w:cs="Calibri"/>
          <w:color w:val="262626" w:themeColor="text1" w:themeTint="D9"/>
        </w:rPr>
        <w:t>Örneğin, borsada işlem gören bir halka açık ortaklığın bir adet payının itibarî (nominal) değeri 1 TL iken piyasa fiyatının 1 TL’nin altında (örneğin 0,8 kuruş) olması durumunda, bu halka açık ortaklığın itibarî (nominal) değer (1 TL) üzerinden yapacağı sermaye artırımına katılım sağlaması (0,8 kuruş piyasa değeri olan bir paya, ortakların 1 TL vermesi söz konusu olacağından) mümkün olamayabilecektir.</w:t>
      </w:r>
    </w:p>
    <w:p w14:paraId="7234EA80" w14:textId="77777777" w:rsidR="00636E11" w:rsidRPr="00BC4205" w:rsidRDefault="00636E11" w:rsidP="00636E11">
      <w:pPr>
        <w:autoSpaceDE w:val="0"/>
        <w:autoSpaceDN w:val="0"/>
        <w:adjustRightInd w:val="0"/>
        <w:spacing w:before="120" w:after="0" w:line="240" w:lineRule="auto"/>
        <w:ind w:right="50"/>
        <w:jc w:val="both"/>
        <w:rPr>
          <w:rFonts w:cs="Calibri"/>
          <w:color w:val="262626" w:themeColor="text1" w:themeTint="D9"/>
        </w:rPr>
      </w:pPr>
      <w:r w:rsidRPr="00BC4205">
        <w:rPr>
          <w:rFonts w:cs="Calibri"/>
          <w:color w:val="262626" w:themeColor="text1" w:themeTint="D9"/>
        </w:rPr>
        <w:t>Bu nedenle, halka açık ortaklıklara ilişkin özel düzenlemeleri içeren Sermaye Piyasası Kanunu’nda payların piyasa fiyatı, nominal değerinin altında olması durumunda, payların nominal değerinin altında bir fiyatla ihraç edilmesine SPK tarafından izin verilebileceği belirtilmiştir. Böylece, piyasa fiyatı nominal değerinin altına inmiş bir halka açık ortaklığın sermaye artırımı yaparak nakit elde etmesi mümkün olabilecektir.</w:t>
      </w:r>
    </w:p>
    <w:p w14:paraId="73152935" w14:textId="77777777" w:rsidR="00636E11" w:rsidRPr="00BC4205" w:rsidRDefault="00636E11" w:rsidP="00636E11">
      <w:pPr>
        <w:autoSpaceDE w:val="0"/>
        <w:autoSpaceDN w:val="0"/>
        <w:adjustRightInd w:val="0"/>
        <w:spacing w:before="120" w:after="0" w:line="240" w:lineRule="auto"/>
        <w:ind w:right="50"/>
        <w:jc w:val="both"/>
        <w:rPr>
          <w:rFonts w:cs="Calibri"/>
          <w:color w:val="262626" w:themeColor="text1" w:themeTint="D9"/>
        </w:rPr>
      </w:pPr>
      <w:r w:rsidRPr="00BC4205">
        <w:rPr>
          <w:rFonts w:cs="Calibri"/>
          <w:color w:val="262626" w:themeColor="text1" w:themeTint="D9"/>
        </w:rPr>
        <w:lastRenderedPageBreak/>
        <w:t xml:space="preserve">SPK tarafından yayımlanan VII-128.1 sayılı “Pay </w:t>
      </w:r>
      <w:proofErr w:type="spellStart"/>
      <w:r w:rsidRPr="00BC4205">
        <w:rPr>
          <w:rFonts w:cs="Calibri"/>
          <w:color w:val="262626" w:themeColor="text1" w:themeTint="D9"/>
        </w:rPr>
        <w:t>Tebliği”nin</w:t>
      </w:r>
      <w:proofErr w:type="spellEnd"/>
      <w:r w:rsidRPr="00BC4205">
        <w:rPr>
          <w:rFonts w:cs="Calibri"/>
          <w:color w:val="262626" w:themeColor="text1" w:themeTint="D9"/>
        </w:rPr>
        <w:t xml:space="preserve"> 18’inci maddesinde nominal değerin altında pay ihracı yoluyla sermaye artırımına ilişkin şartlar düzenlenmiştir. Buna göre;</w:t>
      </w:r>
    </w:p>
    <w:p w14:paraId="0DDAC813" w14:textId="77777777" w:rsidR="00636E11" w:rsidRPr="00BC4205" w:rsidRDefault="00636E11" w:rsidP="00636E11">
      <w:pPr>
        <w:pStyle w:val="ListeParagraf"/>
        <w:numPr>
          <w:ilvl w:val="1"/>
          <w:numId w:val="7"/>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Bu olanaktan sadece borsada işlem gören halka açık ortaklıklar yararlanabilecektir</w:t>
      </w:r>
    </w:p>
    <w:p w14:paraId="1D3A3115" w14:textId="77777777" w:rsidR="00636E11" w:rsidRPr="00BC4205" w:rsidRDefault="00636E11" w:rsidP="00636E11">
      <w:pPr>
        <w:pStyle w:val="ListeParagraf"/>
        <w:numPr>
          <w:ilvl w:val="1"/>
          <w:numId w:val="7"/>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Payları borsada işlem görmeyen halka açık ortaklıklar nominal değerin altında pay ihraç edemeyecektir.</w:t>
      </w:r>
    </w:p>
    <w:p w14:paraId="5C79C499" w14:textId="77777777" w:rsidR="00636E11" w:rsidRPr="00BC4205" w:rsidRDefault="00636E11" w:rsidP="00636E11">
      <w:pPr>
        <w:pStyle w:val="ListeParagraf"/>
        <w:numPr>
          <w:ilvl w:val="1"/>
          <w:numId w:val="7"/>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Bu olanaktan yararlanmak için, sermaye artırım kararının kamuya açıklanma tarihinden önceki otuz gün içinde paylarının borsada oluşan ağırlıklı ortalama fiyatlarının ortalamasının nominal değerinin altında olması gerekmektedir. (Örneğin 1 TL nominal değerli bir şirketin sermaye artırım karar tarihinden önceki günlük ağırlıklı ortalama piyasa fiyatının 30 günlük ortalamasının 0,8 kuruş olması durumunda).</w:t>
      </w:r>
    </w:p>
    <w:p w14:paraId="467816D8" w14:textId="77777777" w:rsidR="00636E11" w:rsidRPr="00BC4205" w:rsidRDefault="00636E11" w:rsidP="00636E11">
      <w:pPr>
        <w:pStyle w:val="ListeParagraf"/>
        <w:numPr>
          <w:ilvl w:val="1"/>
          <w:numId w:val="7"/>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İhraç edilecek payların fiyatı, sermaye artırım kararının kamuya açıklandığı tarihten önceki otuz gün içinde borsada oluşan ağırlıklı ortalama fiyatların ortalamasından aşağı olamayacaktır. (Yukarıdaki örnekte 30 günlük ağırlıklı ortalama fiyat 0,8 kuruş olduğu için nominalin altında ihraç edilecek pay bedeli 0,8 kuruş ile 1 TL arasında olabilecektir)</w:t>
      </w:r>
    </w:p>
    <w:p w14:paraId="08114094" w14:textId="77777777" w:rsidR="00636E11" w:rsidRPr="00BC4205" w:rsidRDefault="00636E11" w:rsidP="00636E11">
      <w:pPr>
        <w:pStyle w:val="ListeParagraf"/>
        <w:numPr>
          <w:ilvl w:val="1"/>
          <w:numId w:val="7"/>
        </w:numPr>
        <w:autoSpaceDE w:val="0"/>
        <w:autoSpaceDN w:val="0"/>
        <w:adjustRightInd w:val="0"/>
        <w:spacing w:before="120" w:after="0" w:line="240" w:lineRule="auto"/>
        <w:ind w:left="284" w:right="50" w:hanging="284"/>
        <w:contextualSpacing w:val="0"/>
        <w:jc w:val="both"/>
        <w:rPr>
          <w:rFonts w:cs="Calibri"/>
          <w:color w:val="000000"/>
        </w:rPr>
      </w:pPr>
      <w:r w:rsidRPr="00BC4205">
        <w:rPr>
          <w:rFonts w:cs="Calibri"/>
          <w:color w:val="262626" w:themeColor="text1" w:themeTint="D9"/>
        </w:rPr>
        <w:t xml:space="preserve">Ortaklığın sermayesi, nominal değer üzerinden tescil edilecek ancak ihraç edilecek payların nominal değeri (örneğin 1 TL) ile ihraç değeri (örneğin 0,8 kuruş) arasındaki fark (örneğin 0,2 kuruş), öz kaynaklarda indirim kalemi olarak izlenecektir. Nominal değerin altında pay ihracı yoluyla sermaye artırımına ilişkin Pay Tebliği’nde belirtilen diğer bilgilere </w:t>
      </w:r>
      <w:r w:rsidRPr="00BC4205">
        <w:rPr>
          <w:rFonts w:cs="Calibri"/>
          <w:color w:val="0000FF"/>
        </w:rPr>
        <w:t xml:space="preserve">www.spk.gov.tr </w:t>
      </w:r>
      <w:r w:rsidRPr="00BC4205">
        <w:rPr>
          <w:rFonts w:cs="Calibri"/>
          <w:color w:val="262626" w:themeColor="text1" w:themeTint="D9"/>
        </w:rPr>
        <w:t>adresindeki mevzuat sayfasından ulaşmanız mümkündür.</w:t>
      </w:r>
    </w:p>
    <w:p w14:paraId="18E714A8"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RİSK BİLDİRİMİ</w:t>
      </w:r>
    </w:p>
    <w:p w14:paraId="74102EEB" w14:textId="77777777" w:rsidR="00636E11" w:rsidRPr="00BC4205" w:rsidRDefault="00636E11" w:rsidP="00636E11">
      <w:pPr>
        <w:pStyle w:val="ListeParagraf"/>
        <w:numPr>
          <w:ilvl w:val="1"/>
          <w:numId w:val="8"/>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Yatırım kuruluşu nezdinde açtıracağınız hesap ve bu hesap üzerinden gerçekleştirilecek tüm işlemler için Sermaye Piyasası Kurulu, Borsalar, Merkezi Takas Kuruluşları, Merkezi Saklama Kuruluşları ve Merkezi Kayıt Kuruluşu tarafından çıkartılan ilgili her türlü mevzuat ve benzeri tüm idari düzenleme hükümleri uygulanacaktır.</w:t>
      </w:r>
    </w:p>
    <w:p w14:paraId="2BE4EEEC" w14:textId="77777777" w:rsidR="00636E11" w:rsidRPr="00BC4205" w:rsidRDefault="00636E11" w:rsidP="00636E11">
      <w:pPr>
        <w:pStyle w:val="ListeParagraf"/>
        <w:numPr>
          <w:ilvl w:val="1"/>
          <w:numId w:val="8"/>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İşlemlerinize başlamadan önce, yatırım kuruluşunuzdan yükümlü olacağınız bütün komisyon ve diğer muamele ücretleri konusunda teyit almalısınız. Eğer ücretler parasal olarak ifade edilmemişse, ücretlerin parasal olarak size nasıl yansıyacağı ile ilgili anlaşılır örnekler içeren yazılı bir açıklama talep etmelisiniz.</w:t>
      </w:r>
    </w:p>
    <w:p w14:paraId="08AEAFD3" w14:textId="77777777" w:rsidR="00636E11" w:rsidRPr="00BC4205" w:rsidRDefault="00636E11" w:rsidP="00636E11">
      <w:pPr>
        <w:pStyle w:val="ListeParagraf"/>
        <w:numPr>
          <w:ilvl w:val="1"/>
          <w:numId w:val="8"/>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Nominal değerin altında pay ihracı yoluyla sermaye artırımında bulunan halka açık ortaklığın, artırılan sermayeyi temsil eden paylarını satın almanız çeşitli risklere tabidir. Piyasada oluşacak fiyat hareketleri sonucunda yatırım kuruluşuna yatırdığınız paranın tümünü kaybedebileceğiniz gibi, kayıplarınız yapacağınız işlemin türüne göre yatırdığınız para tutarını dahi aşabilecektir.</w:t>
      </w:r>
    </w:p>
    <w:p w14:paraId="309BEE32" w14:textId="77777777" w:rsidR="00636E11" w:rsidRPr="00BC4205" w:rsidRDefault="00636E11" w:rsidP="00636E11">
      <w:pPr>
        <w:pStyle w:val="ListeParagraf"/>
        <w:numPr>
          <w:ilvl w:val="1"/>
          <w:numId w:val="8"/>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Kredili işlem veya açığa satış gibi işlemlerde kaldıraç etkisi nedeniyle, düşük öz kaynakla işlem yapmanın piyasada lehe çalışabileceği gibi aleyhe de çalışabileceği ve bu anlamda kaldıraç etkisinin tarafınıza yüksek kazançlar sağlayabileceği gibi zararlara da yol açabileceği ihtimali göz önünde bulundurulmalıdır.</w:t>
      </w:r>
    </w:p>
    <w:p w14:paraId="690DC502" w14:textId="77777777" w:rsidR="00636E11" w:rsidRPr="00BC4205" w:rsidRDefault="00636E11" w:rsidP="00636E11">
      <w:pPr>
        <w:pStyle w:val="ListeParagraf"/>
        <w:numPr>
          <w:ilvl w:val="1"/>
          <w:numId w:val="8"/>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Yatırım kuruluşunun, nominal değerin altında pay ihracı yoluyla sermaye artırımda bulunan ortaklık ve bu ortaklığın payları hakkında tarafınıza aktaracağı bilgiler ve yapacağı tavsiyelerin eksik ve doğrulamaya muhtaç olabileceği tarafınızca dikkate alınmalıdır.</w:t>
      </w:r>
    </w:p>
    <w:p w14:paraId="504BDD8E" w14:textId="77777777" w:rsidR="00636E11" w:rsidRPr="00BC4205" w:rsidRDefault="00636E11" w:rsidP="00636E11">
      <w:pPr>
        <w:pStyle w:val="ListeParagraf"/>
        <w:numPr>
          <w:ilvl w:val="1"/>
          <w:numId w:val="8"/>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Nominal değerin altında pay ihracı yoluyla sermaye artırımda bulunan ortaklığın paylarının alım satımına ilişkin olarak yatırım kuruluşun yetkili personelince yapılacak teknik ve temel analizin kişiden kişiye farklılık arz edebileceği ve bu analizlerde yapılan öngörülerin kesin olarak gerçekleşmeme olasılığının bulunduğu dikkate alınmalıdır.</w:t>
      </w:r>
    </w:p>
    <w:p w14:paraId="097F65C8" w14:textId="77777777" w:rsidR="00636E11" w:rsidRPr="00BC4205" w:rsidRDefault="00636E11" w:rsidP="00636E11">
      <w:pPr>
        <w:pStyle w:val="ListeParagraf"/>
        <w:numPr>
          <w:ilvl w:val="1"/>
          <w:numId w:val="8"/>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Nominal değerin altında pay ihracı yoluyla sermaye artırımda bulunan ortaklığın Sermaye Piyasası Kurulu ve Borsa İstanbul A.Ş. düzenlemelerine uymaması halinde, ortaklık paylarının işlem sırasının geçici veya sürekli olarak durdurulabileceği dikkate alınmalıdır.</w:t>
      </w:r>
    </w:p>
    <w:p w14:paraId="77707149" w14:textId="77777777" w:rsidR="00636E11" w:rsidRPr="00BC4205" w:rsidRDefault="00636E11" w:rsidP="00636E11">
      <w:pPr>
        <w:pStyle w:val="ListeParagraf"/>
        <w:numPr>
          <w:ilvl w:val="1"/>
          <w:numId w:val="8"/>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lastRenderedPageBreak/>
        <w:t>Finansal bilgileriniz, sermaye artırım sürecindeki gelişmeleri takip edemeyecek seviyede ise yatırım danışmanlarından destek almanız ya da yatırımlarınızı kurumsal yatırımcıların sunduğu ürünler üzerinden yapmanız uygun olacaktır.</w:t>
      </w:r>
    </w:p>
    <w:p w14:paraId="2FB6F03C" w14:textId="77777777" w:rsidR="00636E11" w:rsidRPr="00BC4205" w:rsidRDefault="00636E11" w:rsidP="00636E11">
      <w:pPr>
        <w:pStyle w:val="ListeParagraf"/>
        <w:numPr>
          <w:ilvl w:val="1"/>
          <w:numId w:val="8"/>
        </w:numPr>
        <w:autoSpaceDE w:val="0"/>
        <w:autoSpaceDN w:val="0"/>
        <w:adjustRightInd w:val="0"/>
        <w:spacing w:before="120" w:after="0" w:line="240" w:lineRule="auto"/>
        <w:ind w:left="284" w:right="50" w:hanging="284"/>
        <w:contextualSpacing w:val="0"/>
        <w:jc w:val="both"/>
        <w:rPr>
          <w:rFonts w:cs="Calibri"/>
          <w:color w:val="262626" w:themeColor="text1" w:themeTint="D9"/>
        </w:rPr>
      </w:pPr>
      <w:r w:rsidRPr="00BC4205">
        <w:rPr>
          <w:rFonts w:cs="Calibri"/>
          <w:color w:val="262626" w:themeColor="text1" w:themeTint="D9"/>
        </w:rPr>
        <w:t>Yatırım yaptığınız ortaklığın, nominal değerin altında pay ihracı yoluyla sermaye artırım sürecini</w:t>
      </w:r>
      <w:r w:rsidRPr="00BC4205">
        <w:rPr>
          <w:rFonts w:cs="Calibri"/>
          <w:color w:val="404040" w:themeColor="text1" w:themeTint="BF"/>
        </w:rPr>
        <w:t xml:space="preserve"> </w:t>
      </w:r>
      <w:r w:rsidRPr="00BC4205">
        <w:rPr>
          <w:rFonts w:cs="Calibri"/>
          <w:color w:val="0000FF"/>
        </w:rPr>
        <w:t xml:space="preserve">www.kap.gov.tr </w:t>
      </w:r>
      <w:r w:rsidRPr="00BC4205">
        <w:rPr>
          <w:rFonts w:cs="Calibri"/>
          <w:color w:val="262626" w:themeColor="text1" w:themeTint="D9"/>
        </w:rPr>
        <w:t>adresinden takip etmeniz gerekmektedir.</w:t>
      </w:r>
    </w:p>
    <w:p w14:paraId="182B0B3C" w14:textId="77777777" w:rsidR="00636E11" w:rsidRPr="00BC4205" w:rsidRDefault="00636E11" w:rsidP="00636E11">
      <w:pPr>
        <w:autoSpaceDE w:val="0"/>
        <w:autoSpaceDN w:val="0"/>
        <w:adjustRightInd w:val="0"/>
        <w:spacing w:before="120" w:after="0" w:line="240" w:lineRule="auto"/>
        <w:ind w:right="50"/>
        <w:jc w:val="both"/>
        <w:rPr>
          <w:rFonts w:cs="Calibri"/>
          <w:b/>
          <w:color w:val="262626" w:themeColor="text1" w:themeTint="D9"/>
        </w:rPr>
      </w:pPr>
      <w:r w:rsidRPr="00BC4205">
        <w:rPr>
          <w:rFonts w:cs="Calibri"/>
          <w:b/>
          <w:color w:val="262626" w:themeColor="text1" w:themeTint="D9"/>
        </w:rPr>
        <w:t>İşbu nominal değerin altında pay ihracı yoluyla sermaye artırımı risk bildirim formu, yatırımcıyı genel olarak mevcut riskler hakkında bilgilendirmeyi amaçlamakta olup, nominal değerin altında pay ihracı yoluyla sermaye artırımda bulunan ortaklık ve bu ortaklığın paylarının alım satımından ve uygulamadan kaynaklanabilecek tüm riskleri kapsamayabilir. Dolayısıyla tasarruflarınızı bu tip yatırımlara yönlendirmeden önce dikkatli bir şekilde araştırma yapmalısınız.</w:t>
      </w:r>
    </w:p>
    <w:p w14:paraId="465AC3AE" w14:textId="77777777" w:rsidR="00636E11" w:rsidRPr="00776A7F" w:rsidRDefault="00636E11" w:rsidP="00C46F77">
      <w:pPr>
        <w:pStyle w:val="Balk1"/>
        <w:contextualSpacing/>
        <w:jc w:val="center"/>
        <w:rPr>
          <w:rFonts w:ascii="Calibri" w:hAnsi="Calibri" w:cs="Calibri"/>
          <w:b/>
          <w:bCs/>
          <w:color w:val="auto"/>
          <w:sz w:val="24"/>
          <w:szCs w:val="24"/>
        </w:rPr>
      </w:pPr>
      <w:bookmarkStart w:id="14" w:name="_TÜREV_ARAÇLAR_RİSK"/>
      <w:bookmarkEnd w:id="14"/>
      <w:r w:rsidRPr="00776A7F">
        <w:rPr>
          <w:rFonts w:ascii="Calibri" w:hAnsi="Calibri" w:cs="Calibri"/>
          <w:b/>
          <w:bCs/>
          <w:color w:val="auto"/>
          <w:sz w:val="24"/>
          <w:szCs w:val="24"/>
        </w:rPr>
        <w:t>TÜREV ARAÇLAR RİSK BİLDİRİM FORMU</w:t>
      </w:r>
    </w:p>
    <w:p w14:paraId="2311BD9C" w14:textId="77777777" w:rsidR="00636E11" w:rsidRPr="00BC4205" w:rsidRDefault="00636E11" w:rsidP="00636E11">
      <w:pPr>
        <w:spacing w:after="0" w:line="240" w:lineRule="auto"/>
        <w:ind w:right="51"/>
        <w:jc w:val="center"/>
        <w:outlineLvl w:val="1"/>
        <w:rPr>
          <w:rFonts w:eastAsia="Times New Roman" w:cs="Calibri"/>
          <w:b/>
          <w:color w:val="262626" w:themeColor="text1" w:themeTint="D9"/>
          <w:lang w:eastAsia="tr-TR"/>
        </w:rPr>
      </w:pPr>
      <w:r w:rsidRPr="00BC4205">
        <w:rPr>
          <w:rFonts w:eastAsia="Times New Roman" w:cs="Calibri"/>
          <w:b/>
          <w:color w:val="262626" w:themeColor="text1" w:themeTint="D9"/>
          <w:lang w:eastAsia="tr-TR"/>
        </w:rPr>
        <w:t>(BİST Vadeli İşlem ve Opsiyon Piyasası nezdindeki işlemlere ilişkindir)</w:t>
      </w:r>
    </w:p>
    <w:p w14:paraId="7AA3C383" w14:textId="77777777" w:rsidR="00636E11" w:rsidRPr="00BC4205" w:rsidRDefault="00636E11" w:rsidP="00636E11">
      <w:pPr>
        <w:shd w:val="clear" w:color="auto" w:fill="FFFFFF"/>
        <w:spacing w:before="120" w:after="0" w:line="240" w:lineRule="auto"/>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Önemli Açıklama</w:t>
      </w:r>
    </w:p>
    <w:p w14:paraId="7790817B" w14:textId="77777777" w:rsidR="00636E11" w:rsidRPr="00BC4205" w:rsidRDefault="00636E11" w:rsidP="00636E11">
      <w:pPr>
        <w:autoSpaceDN w:val="0"/>
        <w:spacing w:before="120" w:after="0" w:line="240" w:lineRule="auto"/>
        <w:ind w:right="50"/>
        <w:jc w:val="both"/>
        <w:rPr>
          <w:rFonts w:cs="Calibri"/>
          <w:color w:val="262626" w:themeColor="text1" w:themeTint="D9"/>
          <w:lang w:eastAsia="tr-TR"/>
        </w:rPr>
      </w:pPr>
      <w:r w:rsidRPr="00BC4205">
        <w:rPr>
          <w:rFonts w:cs="Calibri"/>
          <w:color w:val="262626" w:themeColor="text1" w:themeTint="D9"/>
          <w:lang w:eastAsia="tr-TR"/>
        </w:rPr>
        <w:t>BİST Vadeli İşlem ve Opsiyon Piyasası nezdinde yapacağınız alım-satım işlemleri sonucunda kar elde edebileceğiniz gibi zarar riskiniz de bulunmaktadır. Bu nedenle, Vadeli İşlem ve Opsiyon Piyasası'nda işlem yapmaya karar vermeden Önce, piyasada karşılaşabileceğiniz riskleri anlamanız, mali durumunuzu ve kısıtlarınızı dikkate alarak karar vermeniz gerekmekledir. Bu amaçla, Bu amaçla, III-39.1 sayılı Yatırım Kuruluşlarının Kuruluş ve Faaliyet Esasları Hakkında Tebliğ’in (Tebliğ) 25 inci maddesinin ikinci fıkrasında öngörüldüğü üzere bu Türev Araçlar Risk Bildirim Formunda yer alan aşağıdaki hususları anlamanız gerekmektedir.</w:t>
      </w:r>
    </w:p>
    <w:p w14:paraId="7DC4467D"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Tanımlar</w:t>
      </w:r>
    </w:p>
    <w:tbl>
      <w:tblPr>
        <w:tblStyle w:val="TabloKlavuzu"/>
        <w:tblW w:w="506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2"/>
        <w:gridCol w:w="6882"/>
      </w:tblGrid>
      <w:tr w:rsidR="00636E11" w:rsidRPr="00BC4205" w14:paraId="5737CA45" w14:textId="77777777" w:rsidTr="00F127D0">
        <w:tc>
          <w:tcPr>
            <w:tcW w:w="1249" w:type="pct"/>
          </w:tcPr>
          <w:p w14:paraId="6DD11E85" w14:textId="77777777" w:rsidR="00636E11" w:rsidRPr="00BC4205" w:rsidRDefault="00636E11" w:rsidP="00F127D0">
            <w:pPr>
              <w:autoSpaceDE w:val="0"/>
              <w:autoSpaceDN w:val="0"/>
              <w:adjustRightInd w:val="0"/>
              <w:spacing w:before="120" w:after="0" w:line="240" w:lineRule="auto"/>
              <w:ind w:right="51"/>
              <w:rPr>
                <w:rFonts w:cs="Calibri"/>
                <w:b/>
                <w:color w:val="262626" w:themeColor="text1" w:themeTint="D9"/>
                <w:sz w:val="22"/>
                <w:szCs w:val="22"/>
              </w:rPr>
            </w:pPr>
            <w:r w:rsidRPr="00BC4205">
              <w:rPr>
                <w:rFonts w:cs="Calibri"/>
                <w:b/>
                <w:color w:val="262626" w:themeColor="text1" w:themeTint="D9"/>
                <w:sz w:val="22"/>
                <w:szCs w:val="22"/>
              </w:rPr>
              <w:t>Borsa</w:t>
            </w:r>
          </w:p>
        </w:tc>
        <w:tc>
          <w:tcPr>
            <w:tcW w:w="3751" w:type="pct"/>
          </w:tcPr>
          <w:p w14:paraId="0A8CD0ED" w14:textId="77777777" w:rsidR="00636E11" w:rsidRPr="00BC4205" w:rsidRDefault="00636E11" w:rsidP="00F127D0">
            <w:pPr>
              <w:autoSpaceDE w:val="0"/>
              <w:autoSpaceDN w:val="0"/>
              <w:adjustRightInd w:val="0"/>
              <w:spacing w:before="120" w:after="0" w:line="240" w:lineRule="auto"/>
              <w:ind w:right="51"/>
              <w:jc w:val="both"/>
              <w:rPr>
                <w:rFonts w:cs="Calibri"/>
                <w:color w:val="262626" w:themeColor="text1" w:themeTint="D9"/>
                <w:sz w:val="22"/>
                <w:szCs w:val="22"/>
              </w:rPr>
            </w:pPr>
            <w:r w:rsidRPr="00BC4205">
              <w:rPr>
                <w:rFonts w:cs="Calibri"/>
                <w:color w:val="262626" w:themeColor="text1" w:themeTint="D9"/>
                <w:sz w:val="22"/>
                <w:szCs w:val="22"/>
              </w:rPr>
              <w:t>Borsa İstanbul A.Ş. Vadeli işlem ve Opsiyon Piyasası’nı (VİOP)</w:t>
            </w:r>
          </w:p>
        </w:tc>
      </w:tr>
      <w:tr w:rsidR="00636E11" w:rsidRPr="00BC4205" w14:paraId="771340C5" w14:textId="77777777" w:rsidTr="00F127D0">
        <w:tc>
          <w:tcPr>
            <w:tcW w:w="1249" w:type="pct"/>
          </w:tcPr>
          <w:p w14:paraId="12579F6C" w14:textId="77777777" w:rsidR="00636E11" w:rsidRPr="00BC4205" w:rsidRDefault="00636E11" w:rsidP="00F127D0">
            <w:pPr>
              <w:autoSpaceDE w:val="0"/>
              <w:autoSpaceDN w:val="0"/>
              <w:adjustRightInd w:val="0"/>
              <w:spacing w:before="120" w:after="0" w:line="240" w:lineRule="auto"/>
              <w:ind w:right="51"/>
              <w:rPr>
                <w:rFonts w:cs="Calibri"/>
                <w:b/>
                <w:bCs/>
                <w:color w:val="262626" w:themeColor="text1" w:themeTint="D9"/>
                <w:sz w:val="22"/>
                <w:szCs w:val="22"/>
              </w:rPr>
            </w:pPr>
            <w:r w:rsidRPr="00BC4205">
              <w:rPr>
                <w:rFonts w:cs="Calibri"/>
                <w:b/>
                <w:bCs/>
                <w:color w:val="262626" w:themeColor="text1" w:themeTint="D9"/>
                <w:sz w:val="22"/>
                <w:szCs w:val="22"/>
              </w:rPr>
              <w:t>Vadeli İşlem Sözleşmesi</w:t>
            </w:r>
          </w:p>
        </w:tc>
        <w:tc>
          <w:tcPr>
            <w:tcW w:w="3751" w:type="pct"/>
          </w:tcPr>
          <w:p w14:paraId="468BAA5B" w14:textId="77777777" w:rsidR="00636E11" w:rsidRPr="00BC4205" w:rsidRDefault="00636E11" w:rsidP="00F127D0">
            <w:pPr>
              <w:autoSpaceDE w:val="0"/>
              <w:autoSpaceDN w:val="0"/>
              <w:adjustRightInd w:val="0"/>
              <w:spacing w:before="120" w:after="0" w:line="240" w:lineRule="auto"/>
              <w:ind w:right="51"/>
              <w:jc w:val="both"/>
              <w:rPr>
                <w:rFonts w:cs="Calibri"/>
                <w:color w:val="262626" w:themeColor="text1" w:themeTint="D9"/>
                <w:sz w:val="22"/>
                <w:szCs w:val="22"/>
              </w:rPr>
            </w:pPr>
            <w:r w:rsidRPr="00BC4205">
              <w:rPr>
                <w:rFonts w:cs="Calibri"/>
                <w:bCs/>
                <w:color w:val="262626" w:themeColor="text1" w:themeTint="D9"/>
                <w:sz w:val="22"/>
                <w:szCs w:val="22"/>
              </w:rPr>
              <w:t>Belirli bir vadede önceden belirlenen fiyat miktar ve nitelikte ekonomik veya finansal göstergeyi sermaye piyasası aracını malı kıymetli madeni ve dövizi alma veya satma yükümlülüğü veren sözleşmeyi,</w:t>
            </w:r>
          </w:p>
        </w:tc>
      </w:tr>
      <w:tr w:rsidR="00636E11" w:rsidRPr="00BC4205" w14:paraId="24B9DB09" w14:textId="77777777" w:rsidTr="00F127D0">
        <w:tc>
          <w:tcPr>
            <w:tcW w:w="1249" w:type="pct"/>
          </w:tcPr>
          <w:p w14:paraId="38A8ABFF" w14:textId="77777777" w:rsidR="00636E11" w:rsidRPr="00BC4205" w:rsidRDefault="00636E11" w:rsidP="00F127D0">
            <w:pPr>
              <w:autoSpaceDE w:val="0"/>
              <w:autoSpaceDN w:val="0"/>
              <w:adjustRightInd w:val="0"/>
              <w:spacing w:before="120" w:after="0" w:line="240" w:lineRule="auto"/>
              <w:ind w:right="51"/>
              <w:rPr>
                <w:rFonts w:cs="Calibri"/>
                <w:b/>
                <w:bCs/>
                <w:color w:val="262626" w:themeColor="text1" w:themeTint="D9"/>
                <w:sz w:val="22"/>
                <w:szCs w:val="22"/>
              </w:rPr>
            </w:pPr>
            <w:r w:rsidRPr="00BC4205">
              <w:rPr>
                <w:rFonts w:cs="Calibri"/>
                <w:b/>
                <w:bCs/>
                <w:color w:val="262626" w:themeColor="text1" w:themeTint="D9"/>
                <w:sz w:val="22"/>
                <w:szCs w:val="22"/>
              </w:rPr>
              <w:t>Opsiyon Sözleşmesi</w:t>
            </w:r>
          </w:p>
        </w:tc>
        <w:tc>
          <w:tcPr>
            <w:tcW w:w="3751" w:type="pct"/>
          </w:tcPr>
          <w:p w14:paraId="39DB14CD" w14:textId="77777777" w:rsidR="00636E11" w:rsidRPr="00BC4205" w:rsidRDefault="00636E11" w:rsidP="00F127D0">
            <w:pPr>
              <w:autoSpaceDE w:val="0"/>
              <w:autoSpaceDN w:val="0"/>
              <w:adjustRightInd w:val="0"/>
              <w:spacing w:before="120" w:after="0" w:line="240" w:lineRule="auto"/>
              <w:ind w:left="36" w:right="51" w:hanging="2"/>
              <w:jc w:val="both"/>
              <w:rPr>
                <w:rFonts w:cs="Calibri"/>
                <w:bCs/>
                <w:color w:val="262626" w:themeColor="text1" w:themeTint="D9"/>
                <w:sz w:val="22"/>
                <w:szCs w:val="22"/>
              </w:rPr>
            </w:pPr>
            <w:r w:rsidRPr="00BC4205">
              <w:rPr>
                <w:rFonts w:cs="Calibri"/>
                <w:bCs/>
                <w:color w:val="262626" w:themeColor="text1" w:themeTint="D9"/>
                <w:sz w:val="22"/>
                <w:szCs w:val="22"/>
              </w:rPr>
              <w:t>Opsiyonu alan tarafa belirli bir vadede veya belirli bir vadeye kadar önceden belirlenen fiyat, miktar ve nitelikte ekonomik veya finansal göstergeyi, sermaye piyasası aracını, malı, kıymetli madeni ve dövizi alma veya salma hakkı veren, satan tarafı ise yükümlü kılan sözleşmeyi,</w:t>
            </w:r>
          </w:p>
        </w:tc>
      </w:tr>
      <w:tr w:rsidR="00636E11" w:rsidRPr="00BC4205" w14:paraId="70F4A7EF" w14:textId="77777777" w:rsidTr="00F127D0">
        <w:tc>
          <w:tcPr>
            <w:tcW w:w="1249" w:type="pct"/>
          </w:tcPr>
          <w:p w14:paraId="0914A497" w14:textId="77777777" w:rsidR="00636E11" w:rsidRPr="00BC4205" w:rsidRDefault="00636E11" w:rsidP="00F127D0">
            <w:pPr>
              <w:autoSpaceDE w:val="0"/>
              <w:autoSpaceDN w:val="0"/>
              <w:adjustRightInd w:val="0"/>
              <w:spacing w:before="120" w:after="0" w:line="240" w:lineRule="auto"/>
              <w:ind w:right="51"/>
              <w:rPr>
                <w:rFonts w:cs="Calibri"/>
                <w:b/>
                <w:bCs/>
                <w:color w:val="262626" w:themeColor="text1" w:themeTint="D9"/>
                <w:sz w:val="22"/>
                <w:szCs w:val="22"/>
              </w:rPr>
            </w:pPr>
            <w:r w:rsidRPr="00BC4205">
              <w:rPr>
                <w:rFonts w:cs="Calibri"/>
                <w:b/>
                <w:bCs/>
                <w:color w:val="262626" w:themeColor="text1" w:themeTint="D9"/>
                <w:sz w:val="22"/>
                <w:szCs w:val="22"/>
              </w:rPr>
              <w:t>Uzun Pozisyon (Vadeli İşlem Sözleşmelerinde)</w:t>
            </w:r>
          </w:p>
        </w:tc>
        <w:tc>
          <w:tcPr>
            <w:tcW w:w="3751" w:type="pct"/>
          </w:tcPr>
          <w:p w14:paraId="77FAF0CC" w14:textId="77777777" w:rsidR="00636E11" w:rsidRPr="00BC4205" w:rsidRDefault="00636E11" w:rsidP="00F127D0">
            <w:pPr>
              <w:autoSpaceDE w:val="0"/>
              <w:autoSpaceDN w:val="0"/>
              <w:adjustRightInd w:val="0"/>
              <w:spacing w:before="120" w:after="0" w:line="240" w:lineRule="auto"/>
              <w:ind w:left="36" w:right="51" w:hanging="2"/>
              <w:jc w:val="both"/>
              <w:rPr>
                <w:rFonts w:cs="Calibri"/>
                <w:bCs/>
                <w:color w:val="262626" w:themeColor="text1" w:themeTint="D9"/>
                <w:sz w:val="22"/>
                <w:szCs w:val="22"/>
              </w:rPr>
            </w:pPr>
            <w:r w:rsidRPr="00BC4205">
              <w:rPr>
                <w:rFonts w:cs="Calibri"/>
                <w:bCs/>
                <w:color w:val="262626" w:themeColor="text1" w:themeTint="D9"/>
                <w:sz w:val="22"/>
                <w:szCs w:val="22"/>
              </w:rPr>
              <w:t>Sözleşmenin vadesi geldiğinde sözleşmeye konu teşkil eden varlığı sözleşmede belirtilen fiyattan ve belirtilen miktarda satın alma ya da nakdi uzlaşmayı sağlama yükümlülüğünü,</w:t>
            </w:r>
          </w:p>
        </w:tc>
      </w:tr>
      <w:tr w:rsidR="00636E11" w:rsidRPr="00BC4205" w14:paraId="7C9E2B76" w14:textId="77777777" w:rsidTr="00F127D0">
        <w:tc>
          <w:tcPr>
            <w:tcW w:w="1249" w:type="pct"/>
          </w:tcPr>
          <w:p w14:paraId="74DB7654" w14:textId="77777777" w:rsidR="00636E11" w:rsidRPr="00BC4205" w:rsidRDefault="00636E11" w:rsidP="00F127D0">
            <w:pPr>
              <w:autoSpaceDE w:val="0"/>
              <w:autoSpaceDN w:val="0"/>
              <w:adjustRightInd w:val="0"/>
              <w:spacing w:before="120" w:after="0" w:line="240" w:lineRule="auto"/>
              <w:ind w:right="51"/>
              <w:rPr>
                <w:rFonts w:cs="Calibri"/>
                <w:b/>
                <w:bCs/>
                <w:color w:val="262626" w:themeColor="text1" w:themeTint="D9"/>
                <w:sz w:val="22"/>
                <w:szCs w:val="22"/>
              </w:rPr>
            </w:pPr>
            <w:r w:rsidRPr="00BC4205">
              <w:rPr>
                <w:rFonts w:cs="Calibri"/>
                <w:b/>
                <w:bCs/>
                <w:color w:val="262626" w:themeColor="text1" w:themeTint="D9"/>
                <w:sz w:val="22"/>
                <w:szCs w:val="22"/>
              </w:rPr>
              <w:t>Uzun Pozisyon (Opsiyon Sözleşmelerinde)</w:t>
            </w:r>
          </w:p>
          <w:p w14:paraId="2257741F" w14:textId="77777777" w:rsidR="00636E11" w:rsidRPr="00BC4205" w:rsidRDefault="00636E11" w:rsidP="00F127D0">
            <w:pPr>
              <w:autoSpaceDE w:val="0"/>
              <w:autoSpaceDN w:val="0"/>
              <w:adjustRightInd w:val="0"/>
              <w:spacing w:before="120" w:after="0" w:line="240" w:lineRule="auto"/>
              <w:ind w:right="51"/>
              <w:rPr>
                <w:rFonts w:cs="Calibri"/>
                <w:b/>
                <w:bCs/>
                <w:color w:val="262626" w:themeColor="text1" w:themeTint="D9"/>
                <w:sz w:val="22"/>
                <w:szCs w:val="22"/>
              </w:rPr>
            </w:pPr>
          </w:p>
        </w:tc>
        <w:tc>
          <w:tcPr>
            <w:tcW w:w="3751" w:type="pct"/>
          </w:tcPr>
          <w:p w14:paraId="100E89A1" w14:textId="77777777" w:rsidR="00636E11" w:rsidRPr="00BC4205" w:rsidRDefault="00636E11" w:rsidP="00F127D0">
            <w:pPr>
              <w:autoSpaceDE w:val="0"/>
              <w:autoSpaceDN w:val="0"/>
              <w:adjustRightInd w:val="0"/>
              <w:spacing w:before="120" w:after="0" w:line="240" w:lineRule="auto"/>
              <w:ind w:left="36" w:right="51" w:hanging="2"/>
              <w:jc w:val="both"/>
              <w:rPr>
                <w:rFonts w:cs="Calibri"/>
                <w:bCs/>
                <w:color w:val="262626" w:themeColor="text1" w:themeTint="D9"/>
                <w:sz w:val="22"/>
                <w:szCs w:val="22"/>
              </w:rPr>
            </w:pPr>
            <w:r w:rsidRPr="00BC4205">
              <w:rPr>
                <w:rFonts w:cs="Calibri"/>
                <w:bCs/>
                <w:color w:val="262626" w:themeColor="text1" w:themeTint="D9"/>
                <w:sz w:val="22"/>
                <w:szCs w:val="22"/>
              </w:rPr>
              <w:t>1.Alım opsiyonunda sözleşmenin vadesinde veya vadeye kadar olan süre içinde sözleşmeye konu teşkil eden varlığı, sözleşmede belirtilen fiyattan ve belirtilen miktardan satın alma ya da nakdi uzlaşmada bulunma hakkını,</w:t>
            </w:r>
          </w:p>
          <w:p w14:paraId="18C29A17" w14:textId="77777777" w:rsidR="00636E11" w:rsidRPr="00BC4205" w:rsidRDefault="00636E11" w:rsidP="00F127D0">
            <w:pPr>
              <w:autoSpaceDE w:val="0"/>
              <w:autoSpaceDN w:val="0"/>
              <w:adjustRightInd w:val="0"/>
              <w:spacing w:before="120" w:after="0" w:line="240" w:lineRule="auto"/>
              <w:ind w:left="36" w:right="51" w:hanging="2"/>
              <w:jc w:val="both"/>
              <w:rPr>
                <w:rFonts w:cs="Calibri"/>
                <w:bCs/>
                <w:color w:val="262626" w:themeColor="text1" w:themeTint="D9"/>
                <w:sz w:val="22"/>
                <w:szCs w:val="22"/>
              </w:rPr>
            </w:pPr>
            <w:r w:rsidRPr="00BC4205">
              <w:rPr>
                <w:rFonts w:cs="Calibri"/>
                <w:bCs/>
                <w:color w:val="262626" w:themeColor="text1" w:themeTint="D9"/>
                <w:sz w:val="22"/>
                <w:szCs w:val="22"/>
              </w:rPr>
              <w:t>2.Satım opsiyonunda, sözleşmenin vadesinde veya vadeye kadar olan süre içinde sözleşmeye konu teşkil eden varlığı, sözleşmede belirtilen fiyattan ve belirtilen miktardan satma ya da nakdi uzlaşmada bulunma hakkını</w:t>
            </w:r>
          </w:p>
        </w:tc>
      </w:tr>
      <w:tr w:rsidR="00636E11" w:rsidRPr="00BC4205" w14:paraId="488B2FE3" w14:textId="77777777" w:rsidTr="00F127D0">
        <w:trPr>
          <w:trHeight w:val="786"/>
        </w:trPr>
        <w:tc>
          <w:tcPr>
            <w:tcW w:w="1249" w:type="pct"/>
          </w:tcPr>
          <w:p w14:paraId="5AF6362B" w14:textId="77777777" w:rsidR="00636E11" w:rsidRPr="00BC4205" w:rsidRDefault="00636E11" w:rsidP="00F127D0">
            <w:pPr>
              <w:autoSpaceDE w:val="0"/>
              <w:autoSpaceDN w:val="0"/>
              <w:adjustRightInd w:val="0"/>
              <w:spacing w:before="120" w:after="0" w:line="240" w:lineRule="auto"/>
              <w:ind w:right="51"/>
              <w:rPr>
                <w:rFonts w:cs="Calibri"/>
                <w:b/>
                <w:bCs/>
                <w:color w:val="262626" w:themeColor="text1" w:themeTint="D9"/>
                <w:sz w:val="22"/>
                <w:szCs w:val="22"/>
              </w:rPr>
            </w:pPr>
            <w:r w:rsidRPr="00BC4205">
              <w:rPr>
                <w:rFonts w:cs="Calibri"/>
                <w:b/>
                <w:bCs/>
                <w:color w:val="262626" w:themeColor="text1" w:themeTint="D9"/>
                <w:sz w:val="22"/>
                <w:szCs w:val="22"/>
              </w:rPr>
              <w:t>Kısa pozisyon (Vadeli Sözleşmelerinde)</w:t>
            </w:r>
          </w:p>
        </w:tc>
        <w:tc>
          <w:tcPr>
            <w:tcW w:w="3751" w:type="pct"/>
          </w:tcPr>
          <w:p w14:paraId="3288E378" w14:textId="77777777" w:rsidR="00636E11" w:rsidRPr="00BC4205" w:rsidRDefault="00636E11" w:rsidP="00F127D0">
            <w:pPr>
              <w:autoSpaceDE w:val="0"/>
              <w:autoSpaceDN w:val="0"/>
              <w:adjustRightInd w:val="0"/>
              <w:spacing w:before="120" w:after="0" w:line="240" w:lineRule="auto"/>
              <w:ind w:left="36" w:right="51" w:hanging="2"/>
              <w:jc w:val="both"/>
              <w:rPr>
                <w:rFonts w:cs="Calibri"/>
                <w:bCs/>
                <w:color w:val="262626" w:themeColor="text1" w:themeTint="D9"/>
                <w:sz w:val="22"/>
                <w:szCs w:val="22"/>
              </w:rPr>
            </w:pPr>
            <w:r w:rsidRPr="00BC4205">
              <w:rPr>
                <w:rFonts w:cs="Calibri"/>
                <w:bCs/>
                <w:color w:val="262626" w:themeColor="text1" w:themeTint="D9"/>
                <w:sz w:val="22"/>
                <w:szCs w:val="22"/>
              </w:rPr>
              <w:t>Sözleşmenin vadesi geldiğinde sözleşmeye konu teşkil eden varlığı sözleşmede belirtilen fiyattan ve belirtilen miktardan satma ya da nakdi uzlaşmayı sağlama yükümlülüğünü,</w:t>
            </w:r>
          </w:p>
        </w:tc>
      </w:tr>
      <w:tr w:rsidR="00636E11" w:rsidRPr="00BC4205" w14:paraId="5F861483" w14:textId="77777777" w:rsidTr="00F127D0">
        <w:tc>
          <w:tcPr>
            <w:tcW w:w="1249" w:type="pct"/>
          </w:tcPr>
          <w:p w14:paraId="1EB8E146" w14:textId="77777777" w:rsidR="00636E11" w:rsidRPr="00BC4205" w:rsidRDefault="00636E11" w:rsidP="00F127D0">
            <w:pPr>
              <w:autoSpaceDE w:val="0"/>
              <w:autoSpaceDN w:val="0"/>
              <w:adjustRightInd w:val="0"/>
              <w:spacing w:before="120" w:after="0" w:line="240" w:lineRule="auto"/>
              <w:ind w:right="51"/>
              <w:rPr>
                <w:rFonts w:cs="Calibri"/>
                <w:b/>
                <w:bCs/>
                <w:color w:val="262626" w:themeColor="text1" w:themeTint="D9"/>
                <w:sz w:val="22"/>
                <w:szCs w:val="22"/>
              </w:rPr>
            </w:pPr>
            <w:r w:rsidRPr="00BC4205">
              <w:rPr>
                <w:rFonts w:cs="Calibri"/>
                <w:b/>
                <w:bCs/>
                <w:color w:val="262626" w:themeColor="text1" w:themeTint="D9"/>
                <w:sz w:val="22"/>
                <w:szCs w:val="22"/>
              </w:rPr>
              <w:t>Kısa Pozisyon (Opsiyon Sözleşmelerinde)</w:t>
            </w:r>
          </w:p>
        </w:tc>
        <w:tc>
          <w:tcPr>
            <w:tcW w:w="3751" w:type="pct"/>
          </w:tcPr>
          <w:p w14:paraId="35A6EAAF" w14:textId="77777777" w:rsidR="00636E11" w:rsidRPr="00BC4205" w:rsidRDefault="00636E11" w:rsidP="00F127D0">
            <w:pPr>
              <w:autoSpaceDE w:val="0"/>
              <w:autoSpaceDN w:val="0"/>
              <w:adjustRightInd w:val="0"/>
              <w:spacing w:before="120" w:after="0" w:line="240" w:lineRule="auto"/>
              <w:ind w:left="36" w:right="51" w:hanging="2"/>
              <w:jc w:val="both"/>
              <w:rPr>
                <w:rFonts w:cs="Calibri"/>
                <w:bCs/>
                <w:color w:val="262626" w:themeColor="text1" w:themeTint="D9"/>
                <w:sz w:val="22"/>
                <w:szCs w:val="22"/>
              </w:rPr>
            </w:pPr>
            <w:r w:rsidRPr="00BC4205">
              <w:rPr>
                <w:rFonts w:cs="Calibri"/>
                <w:bCs/>
                <w:color w:val="262626" w:themeColor="text1" w:themeTint="D9"/>
                <w:sz w:val="22"/>
                <w:szCs w:val="22"/>
              </w:rPr>
              <w:t xml:space="preserve">1. Alım opsiyonunda sözleşmenin vadesinde veya vadeye kadar olan süre içinde sözleşmeye konu teşkil eden varlığı, sözleşmede belirtilen fiyattan ve belirlenen miktardan satma ya da nakdi uzlaşmayı sağlama </w:t>
            </w:r>
            <w:r w:rsidRPr="00BC4205">
              <w:rPr>
                <w:rFonts w:cs="Calibri"/>
                <w:bCs/>
                <w:color w:val="262626" w:themeColor="text1" w:themeTint="D9"/>
                <w:sz w:val="22"/>
                <w:szCs w:val="22"/>
              </w:rPr>
              <w:lastRenderedPageBreak/>
              <w:t>yükümlülüğünü,</w:t>
            </w:r>
            <w:r w:rsidRPr="00BC4205">
              <w:rPr>
                <w:rFonts w:cs="Calibri"/>
                <w:bCs/>
                <w:color w:val="262626" w:themeColor="text1" w:themeTint="D9"/>
                <w:sz w:val="22"/>
                <w:szCs w:val="22"/>
              </w:rPr>
              <w:br/>
              <w:t>2. Satım opsiyonunda, sözleşmenin vadesinde veya vadeye kadar olan sürede sözleşmeye konu teşkil eden varlığı, sözleşmede belirtilen fiyattan ve belirtilen miktardan satın alma ya da nakdi uzlaşmayı sağlama yükümlülüğünü,</w:t>
            </w:r>
          </w:p>
        </w:tc>
      </w:tr>
      <w:tr w:rsidR="00636E11" w:rsidRPr="00BC4205" w14:paraId="6B50B43C" w14:textId="77777777" w:rsidTr="00F127D0">
        <w:tc>
          <w:tcPr>
            <w:tcW w:w="1249" w:type="pct"/>
          </w:tcPr>
          <w:p w14:paraId="35CDD6BC" w14:textId="77777777" w:rsidR="00636E11" w:rsidRPr="00BC4205" w:rsidRDefault="00636E11" w:rsidP="00F127D0">
            <w:pPr>
              <w:autoSpaceDE w:val="0"/>
              <w:autoSpaceDN w:val="0"/>
              <w:adjustRightInd w:val="0"/>
              <w:spacing w:before="120" w:after="0" w:line="240" w:lineRule="auto"/>
              <w:ind w:right="51"/>
              <w:rPr>
                <w:rFonts w:cs="Calibri"/>
                <w:b/>
                <w:bCs/>
                <w:color w:val="262626" w:themeColor="text1" w:themeTint="D9"/>
                <w:sz w:val="22"/>
                <w:szCs w:val="22"/>
              </w:rPr>
            </w:pPr>
            <w:r w:rsidRPr="00BC4205">
              <w:rPr>
                <w:rFonts w:cs="Calibri"/>
                <w:b/>
                <w:bCs/>
                <w:color w:val="262626" w:themeColor="text1" w:themeTint="D9"/>
                <w:sz w:val="22"/>
                <w:szCs w:val="22"/>
              </w:rPr>
              <w:lastRenderedPageBreak/>
              <w:t>Ters İşlem-Pozisyon Kapatma</w:t>
            </w:r>
          </w:p>
        </w:tc>
        <w:tc>
          <w:tcPr>
            <w:tcW w:w="3751" w:type="pct"/>
          </w:tcPr>
          <w:p w14:paraId="34B3A86A" w14:textId="77777777" w:rsidR="00636E11" w:rsidRPr="00BC4205" w:rsidRDefault="00636E11" w:rsidP="00F127D0">
            <w:pPr>
              <w:autoSpaceDE w:val="0"/>
              <w:autoSpaceDN w:val="0"/>
              <w:adjustRightInd w:val="0"/>
              <w:spacing w:before="120" w:after="0" w:line="240" w:lineRule="auto"/>
              <w:ind w:right="51"/>
              <w:jc w:val="both"/>
              <w:rPr>
                <w:rFonts w:cs="Calibri"/>
                <w:bCs/>
                <w:color w:val="262626" w:themeColor="text1" w:themeTint="D9"/>
                <w:sz w:val="22"/>
                <w:szCs w:val="22"/>
              </w:rPr>
            </w:pPr>
            <w:r w:rsidRPr="00BC4205">
              <w:rPr>
                <w:rFonts w:cs="Calibri"/>
                <w:bCs/>
                <w:color w:val="262626" w:themeColor="text1" w:themeTint="D9"/>
                <w:sz w:val="22"/>
                <w:szCs w:val="22"/>
              </w:rPr>
              <w:t>Aynı özelliklere sahip sözleşme bazında olmak kaydıyla, söz konusu sözleşmenin işlem gördüğü piyasadaki son işlem gününe kadar uzun pozisyon karşısında kısa pozisyon, kısa pozisyon karşısında uzun pozisyon alınarak pozisyonun tasfiyesini,</w:t>
            </w:r>
          </w:p>
        </w:tc>
      </w:tr>
      <w:tr w:rsidR="00636E11" w:rsidRPr="00BC4205" w14:paraId="446D1D9D" w14:textId="77777777" w:rsidTr="00F127D0">
        <w:trPr>
          <w:trHeight w:val="58"/>
        </w:trPr>
        <w:tc>
          <w:tcPr>
            <w:tcW w:w="1249" w:type="pct"/>
          </w:tcPr>
          <w:p w14:paraId="121F57D0" w14:textId="77777777" w:rsidR="00636E11" w:rsidRPr="00BC4205" w:rsidRDefault="00636E11" w:rsidP="00F127D0">
            <w:pPr>
              <w:autoSpaceDE w:val="0"/>
              <w:autoSpaceDN w:val="0"/>
              <w:adjustRightInd w:val="0"/>
              <w:spacing w:before="120" w:after="0" w:line="240" w:lineRule="auto"/>
              <w:ind w:right="51"/>
              <w:rPr>
                <w:rFonts w:cs="Calibri"/>
                <w:b/>
                <w:bCs/>
                <w:color w:val="262626" w:themeColor="text1" w:themeTint="D9"/>
                <w:sz w:val="22"/>
                <w:szCs w:val="22"/>
              </w:rPr>
            </w:pPr>
            <w:r w:rsidRPr="00BC4205">
              <w:rPr>
                <w:rFonts w:cs="Calibri"/>
                <w:b/>
                <w:bCs/>
                <w:color w:val="262626" w:themeColor="text1" w:themeTint="D9"/>
                <w:sz w:val="22"/>
                <w:szCs w:val="22"/>
              </w:rPr>
              <w:t>Opsiyon Primi</w:t>
            </w:r>
          </w:p>
        </w:tc>
        <w:tc>
          <w:tcPr>
            <w:tcW w:w="3751" w:type="pct"/>
          </w:tcPr>
          <w:p w14:paraId="57787D55" w14:textId="77777777" w:rsidR="00636E11" w:rsidRPr="00BC4205" w:rsidRDefault="00636E11" w:rsidP="00F127D0">
            <w:pPr>
              <w:autoSpaceDE w:val="0"/>
              <w:autoSpaceDN w:val="0"/>
              <w:adjustRightInd w:val="0"/>
              <w:spacing w:before="120" w:after="0" w:line="240" w:lineRule="auto"/>
              <w:ind w:right="51"/>
              <w:jc w:val="both"/>
              <w:rPr>
                <w:rFonts w:cs="Calibri"/>
                <w:bCs/>
                <w:color w:val="262626" w:themeColor="text1" w:themeTint="D9"/>
                <w:sz w:val="22"/>
                <w:szCs w:val="22"/>
              </w:rPr>
            </w:pPr>
            <w:r w:rsidRPr="00BC4205">
              <w:rPr>
                <w:rFonts w:cs="Calibri"/>
                <w:bCs/>
                <w:color w:val="262626" w:themeColor="text1" w:themeTint="D9"/>
                <w:sz w:val="22"/>
                <w:szCs w:val="22"/>
              </w:rPr>
              <w:t>Opsiyon sözleşmesini olan tarafın, opsiyon sözleşmesini satan tarafa, sözleşmede yer alan haklar karşılığında ödemekle yükümlü olduğu primi,</w:t>
            </w:r>
          </w:p>
        </w:tc>
      </w:tr>
      <w:tr w:rsidR="00636E11" w:rsidRPr="00BC4205" w14:paraId="5CAEFB19" w14:textId="77777777" w:rsidTr="00F127D0">
        <w:tc>
          <w:tcPr>
            <w:tcW w:w="1249" w:type="pct"/>
          </w:tcPr>
          <w:p w14:paraId="2915F3EB" w14:textId="77777777" w:rsidR="00636E11" w:rsidRPr="00BC4205" w:rsidRDefault="00636E11" w:rsidP="00F127D0">
            <w:pPr>
              <w:autoSpaceDE w:val="0"/>
              <w:autoSpaceDN w:val="0"/>
              <w:adjustRightInd w:val="0"/>
              <w:spacing w:before="120" w:after="0" w:line="240" w:lineRule="auto"/>
              <w:ind w:right="51"/>
              <w:rPr>
                <w:rFonts w:cs="Calibri"/>
                <w:b/>
                <w:bCs/>
                <w:color w:val="262626" w:themeColor="text1" w:themeTint="D9"/>
                <w:sz w:val="22"/>
                <w:szCs w:val="22"/>
              </w:rPr>
            </w:pPr>
            <w:r w:rsidRPr="00BC4205">
              <w:rPr>
                <w:rFonts w:cs="Calibri"/>
                <w:b/>
                <w:bCs/>
                <w:color w:val="262626" w:themeColor="text1" w:themeTint="D9"/>
                <w:sz w:val="22"/>
                <w:szCs w:val="22"/>
              </w:rPr>
              <w:t>Kullanım Fiyatı</w:t>
            </w:r>
          </w:p>
        </w:tc>
        <w:tc>
          <w:tcPr>
            <w:tcW w:w="3751" w:type="pct"/>
          </w:tcPr>
          <w:p w14:paraId="4A3B36B8" w14:textId="77777777" w:rsidR="00636E11" w:rsidRPr="00BC4205" w:rsidRDefault="00636E11" w:rsidP="00F127D0">
            <w:pPr>
              <w:autoSpaceDE w:val="0"/>
              <w:autoSpaceDN w:val="0"/>
              <w:adjustRightInd w:val="0"/>
              <w:spacing w:before="120" w:after="0" w:line="240" w:lineRule="auto"/>
              <w:ind w:right="51"/>
              <w:jc w:val="both"/>
              <w:rPr>
                <w:rFonts w:cs="Calibri"/>
                <w:bCs/>
                <w:color w:val="262626" w:themeColor="text1" w:themeTint="D9"/>
                <w:sz w:val="22"/>
                <w:szCs w:val="22"/>
              </w:rPr>
            </w:pPr>
            <w:r w:rsidRPr="00BC4205">
              <w:rPr>
                <w:rFonts w:cs="Calibri"/>
                <w:bCs/>
                <w:color w:val="262626" w:themeColor="text1" w:themeTint="D9"/>
                <w:sz w:val="22"/>
                <w:szCs w:val="22"/>
              </w:rPr>
              <w:t>Opsiyon sözleşmelerinde, sözleşmeye konu olan varlığın alım veya satım hakkının vade süresince veya vade sonunda kullanabileceği fiyatı,</w:t>
            </w:r>
          </w:p>
        </w:tc>
      </w:tr>
      <w:tr w:rsidR="00636E11" w:rsidRPr="00BC4205" w14:paraId="6B3973D1" w14:textId="77777777" w:rsidTr="00F127D0">
        <w:tc>
          <w:tcPr>
            <w:tcW w:w="1249" w:type="pct"/>
          </w:tcPr>
          <w:p w14:paraId="3FE3C825" w14:textId="77777777" w:rsidR="00636E11" w:rsidRPr="00BC4205" w:rsidRDefault="00636E11" w:rsidP="00F127D0">
            <w:pPr>
              <w:autoSpaceDE w:val="0"/>
              <w:autoSpaceDN w:val="0"/>
              <w:adjustRightInd w:val="0"/>
              <w:spacing w:before="120" w:after="0" w:line="240" w:lineRule="auto"/>
              <w:ind w:left="36" w:right="51" w:hanging="2"/>
              <w:rPr>
                <w:rFonts w:cs="Calibri"/>
                <w:b/>
                <w:bCs/>
                <w:color w:val="262626" w:themeColor="text1" w:themeTint="D9"/>
                <w:sz w:val="22"/>
                <w:szCs w:val="22"/>
              </w:rPr>
            </w:pPr>
            <w:r w:rsidRPr="00BC4205">
              <w:rPr>
                <w:rFonts w:cs="Calibri"/>
                <w:b/>
                <w:bCs/>
                <w:color w:val="262626" w:themeColor="text1" w:themeTint="D9"/>
                <w:sz w:val="22"/>
                <w:szCs w:val="22"/>
              </w:rPr>
              <w:t>Uzlaşma Fiyatı</w:t>
            </w:r>
          </w:p>
          <w:p w14:paraId="20821A05" w14:textId="77777777" w:rsidR="00636E11" w:rsidRPr="00BC4205" w:rsidRDefault="00636E11" w:rsidP="00F127D0">
            <w:pPr>
              <w:autoSpaceDE w:val="0"/>
              <w:autoSpaceDN w:val="0"/>
              <w:adjustRightInd w:val="0"/>
              <w:spacing w:before="120" w:after="0" w:line="240" w:lineRule="auto"/>
              <w:ind w:left="36" w:right="51" w:hanging="2"/>
              <w:rPr>
                <w:rFonts w:cs="Calibri"/>
                <w:b/>
                <w:bCs/>
                <w:color w:val="262626" w:themeColor="text1" w:themeTint="D9"/>
                <w:sz w:val="22"/>
                <w:szCs w:val="22"/>
              </w:rPr>
            </w:pPr>
          </w:p>
        </w:tc>
        <w:tc>
          <w:tcPr>
            <w:tcW w:w="3751" w:type="pct"/>
          </w:tcPr>
          <w:p w14:paraId="3A2CFED8" w14:textId="77777777" w:rsidR="00636E11" w:rsidRPr="00BC4205" w:rsidRDefault="00636E11" w:rsidP="00F127D0">
            <w:pPr>
              <w:autoSpaceDE w:val="0"/>
              <w:autoSpaceDN w:val="0"/>
              <w:adjustRightInd w:val="0"/>
              <w:spacing w:before="120" w:after="0" w:line="240" w:lineRule="auto"/>
              <w:ind w:right="51"/>
              <w:jc w:val="both"/>
              <w:rPr>
                <w:rFonts w:cs="Calibri"/>
                <w:color w:val="262626" w:themeColor="text1" w:themeTint="D9"/>
                <w:sz w:val="22"/>
                <w:szCs w:val="22"/>
              </w:rPr>
            </w:pPr>
            <w:r w:rsidRPr="00BC4205">
              <w:rPr>
                <w:rFonts w:cs="Calibri"/>
                <w:bCs/>
                <w:color w:val="262626" w:themeColor="text1" w:themeTint="D9"/>
                <w:sz w:val="22"/>
                <w:szCs w:val="22"/>
              </w:rPr>
              <w:t>Gün sonlarında hesapların güzelleştirilmesinde kullanılmak üzere sözleşme türü bazında Borsa kuralları uyarınca hesaplanan fiyatı,</w:t>
            </w:r>
          </w:p>
        </w:tc>
      </w:tr>
      <w:tr w:rsidR="00636E11" w:rsidRPr="00BC4205" w14:paraId="5A614E7F" w14:textId="77777777" w:rsidTr="00F127D0">
        <w:tc>
          <w:tcPr>
            <w:tcW w:w="1249" w:type="pct"/>
          </w:tcPr>
          <w:p w14:paraId="161D007B" w14:textId="77777777" w:rsidR="00636E11" w:rsidRPr="00BC4205" w:rsidRDefault="00636E11" w:rsidP="00F127D0">
            <w:pPr>
              <w:autoSpaceDE w:val="0"/>
              <w:autoSpaceDN w:val="0"/>
              <w:adjustRightInd w:val="0"/>
              <w:spacing w:before="120" w:after="0" w:line="240" w:lineRule="auto"/>
              <w:ind w:left="36" w:right="51" w:hanging="2"/>
              <w:rPr>
                <w:rFonts w:cs="Calibri"/>
                <w:b/>
                <w:bCs/>
                <w:color w:val="262626" w:themeColor="text1" w:themeTint="D9"/>
                <w:sz w:val="22"/>
                <w:szCs w:val="22"/>
              </w:rPr>
            </w:pPr>
            <w:r w:rsidRPr="00BC4205">
              <w:rPr>
                <w:rFonts w:cs="Calibri"/>
                <w:b/>
                <w:bCs/>
                <w:color w:val="262626" w:themeColor="text1" w:themeTint="D9"/>
                <w:sz w:val="22"/>
                <w:szCs w:val="22"/>
              </w:rPr>
              <w:t>Pozisyon Limitleri</w:t>
            </w:r>
          </w:p>
        </w:tc>
        <w:tc>
          <w:tcPr>
            <w:tcW w:w="3751" w:type="pct"/>
          </w:tcPr>
          <w:p w14:paraId="71A8235B" w14:textId="77777777" w:rsidR="00636E11" w:rsidRPr="00BC4205" w:rsidRDefault="00636E11" w:rsidP="00F127D0">
            <w:pPr>
              <w:autoSpaceDE w:val="0"/>
              <w:autoSpaceDN w:val="0"/>
              <w:adjustRightInd w:val="0"/>
              <w:spacing w:before="120" w:after="0" w:line="240" w:lineRule="auto"/>
              <w:ind w:right="51"/>
              <w:jc w:val="both"/>
              <w:rPr>
                <w:rFonts w:cs="Calibri"/>
                <w:color w:val="262626" w:themeColor="text1" w:themeTint="D9"/>
                <w:sz w:val="22"/>
                <w:szCs w:val="22"/>
              </w:rPr>
            </w:pPr>
            <w:r w:rsidRPr="00BC4205">
              <w:rPr>
                <w:rFonts w:cs="Calibri"/>
                <w:bCs/>
                <w:color w:val="262626" w:themeColor="text1" w:themeTint="D9"/>
                <w:sz w:val="22"/>
                <w:szCs w:val="22"/>
              </w:rPr>
              <w:t>Her bir sözleşme, hesap ve/veya Borsa üyesi bazında tüm teslimat vadelerinde toplam olarak veya aynı sözleşme türü bazında çeşitli teslimat vadelerinde ara toplam olarak sahip olunabilecek azami pozisyonu,</w:t>
            </w:r>
          </w:p>
        </w:tc>
      </w:tr>
      <w:tr w:rsidR="00636E11" w:rsidRPr="00BC4205" w14:paraId="0890FADC" w14:textId="77777777" w:rsidTr="00F127D0">
        <w:tc>
          <w:tcPr>
            <w:tcW w:w="1249" w:type="pct"/>
          </w:tcPr>
          <w:p w14:paraId="620D4277" w14:textId="77777777" w:rsidR="00636E11" w:rsidRPr="00BC4205" w:rsidRDefault="00636E11" w:rsidP="00F127D0">
            <w:pPr>
              <w:autoSpaceDE w:val="0"/>
              <w:autoSpaceDN w:val="0"/>
              <w:adjustRightInd w:val="0"/>
              <w:spacing w:before="120" w:after="0" w:line="240" w:lineRule="auto"/>
              <w:ind w:left="36" w:right="51" w:hanging="2"/>
              <w:rPr>
                <w:rFonts w:cs="Calibri"/>
                <w:b/>
                <w:bCs/>
                <w:color w:val="262626" w:themeColor="text1" w:themeTint="D9"/>
                <w:sz w:val="22"/>
                <w:szCs w:val="22"/>
              </w:rPr>
            </w:pPr>
            <w:r w:rsidRPr="00BC4205">
              <w:rPr>
                <w:rFonts w:cs="Calibri"/>
                <w:b/>
                <w:bCs/>
                <w:color w:val="262626" w:themeColor="text1" w:themeTint="D9"/>
                <w:sz w:val="22"/>
                <w:szCs w:val="22"/>
              </w:rPr>
              <w:t>Başlangıç Teminatı</w:t>
            </w:r>
          </w:p>
        </w:tc>
        <w:tc>
          <w:tcPr>
            <w:tcW w:w="3751" w:type="pct"/>
          </w:tcPr>
          <w:p w14:paraId="31BBB163" w14:textId="77777777" w:rsidR="00636E11" w:rsidRPr="00BC4205" w:rsidRDefault="00636E11" w:rsidP="00F127D0">
            <w:pPr>
              <w:autoSpaceDE w:val="0"/>
              <w:autoSpaceDN w:val="0"/>
              <w:adjustRightInd w:val="0"/>
              <w:spacing w:before="120" w:after="0" w:line="240" w:lineRule="auto"/>
              <w:ind w:right="51"/>
              <w:jc w:val="both"/>
              <w:rPr>
                <w:rFonts w:cs="Calibri"/>
                <w:color w:val="262626" w:themeColor="text1" w:themeTint="D9"/>
                <w:sz w:val="22"/>
                <w:szCs w:val="22"/>
              </w:rPr>
            </w:pPr>
            <w:r w:rsidRPr="00BC4205">
              <w:rPr>
                <w:rFonts w:cs="Calibri"/>
                <w:bCs/>
                <w:color w:val="262626" w:themeColor="text1" w:themeTint="D9"/>
                <w:sz w:val="22"/>
                <w:szCs w:val="22"/>
              </w:rPr>
              <w:t>Pozisyon açılırken yatırılması zorunlu olan tutarı</w:t>
            </w:r>
          </w:p>
        </w:tc>
      </w:tr>
      <w:tr w:rsidR="00636E11" w:rsidRPr="00BC4205" w14:paraId="768CF659" w14:textId="77777777" w:rsidTr="00F127D0">
        <w:tc>
          <w:tcPr>
            <w:tcW w:w="1249" w:type="pct"/>
          </w:tcPr>
          <w:p w14:paraId="3CF47FDF" w14:textId="77777777" w:rsidR="00636E11" w:rsidRPr="00BC4205" w:rsidRDefault="00636E11" w:rsidP="00F127D0">
            <w:pPr>
              <w:autoSpaceDE w:val="0"/>
              <w:autoSpaceDN w:val="0"/>
              <w:adjustRightInd w:val="0"/>
              <w:spacing w:before="120" w:after="0" w:line="240" w:lineRule="auto"/>
              <w:ind w:left="36" w:right="51" w:hanging="2"/>
              <w:rPr>
                <w:rFonts w:cs="Calibri"/>
                <w:b/>
                <w:bCs/>
                <w:color w:val="262626" w:themeColor="text1" w:themeTint="D9"/>
                <w:sz w:val="22"/>
                <w:szCs w:val="22"/>
              </w:rPr>
            </w:pPr>
            <w:r w:rsidRPr="00BC4205">
              <w:rPr>
                <w:rFonts w:cs="Calibri"/>
                <w:b/>
                <w:bCs/>
                <w:color w:val="262626" w:themeColor="text1" w:themeTint="D9"/>
                <w:sz w:val="22"/>
                <w:szCs w:val="22"/>
              </w:rPr>
              <w:t>Sürdürme Teminatı</w:t>
            </w:r>
          </w:p>
        </w:tc>
        <w:tc>
          <w:tcPr>
            <w:tcW w:w="3751" w:type="pct"/>
          </w:tcPr>
          <w:p w14:paraId="0ADA5F76" w14:textId="77777777" w:rsidR="00636E11" w:rsidRPr="00BC4205" w:rsidRDefault="00636E11" w:rsidP="00F127D0">
            <w:pPr>
              <w:autoSpaceDE w:val="0"/>
              <w:autoSpaceDN w:val="0"/>
              <w:adjustRightInd w:val="0"/>
              <w:spacing w:before="120" w:after="0" w:line="240" w:lineRule="auto"/>
              <w:ind w:right="51"/>
              <w:jc w:val="both"/>
              <w:rPr>
                <w:rFonts w:cs="Calibri"/>
                <w:color w:val="262626" w:themeColor="text1" w:themeTint="D9"/>
                <w:sz w:val="22"/>
                <w:szCs w:val="22"/>
              </w:rPr>
            </w:pPr>
            <w:r w:rsidRPr="00BC4205">
              <w:rPr>
                <w:rFonts w:cs="Calibri"/>
                <w:bCs/>
                <w:color w:val="262626" w:themeColor="text1" w:themeTint="D9"/>
                <w:sz w:val="22"/>
                <w:szCs w:val="22"/>
              </w:rPr>
              <w:t>Piyasadaki günlük fiyat hareketleri karşısında güncelleştirilen teminat tutarlarının koruması gereken alt sınırı,</w:t>
            </w:r>
          </w:p>
        </w:tc>
      </w:tr>
      <w:tr w:rsidR="00636E11" w:rsidRPr="00BC4205" w14:paraId="4E507438" w14:textId="77777777" w:rsidTr="00F127D0">
        <w:tc>
          <w:tcPr>
            <w:tcW w:w="1249" w:type="pct"/>
          </w:tcPr>
          <w:p w14:paraId="18D3B549" w14:textId="77777777" w:rsidR="00636E11" w:rsidRPr="00BC4205" w:rsidRDefault="00636E11" w:rsidP="00F127D0">
            <w:pPr>
              <w:autoSpaceDE w:val="0"/>
              <w:autoSpaceDN w:val="0"/>
              <w:adjustRightInd w:val="0"/>
              <w:spacing w:before="120" w:after="0" w:line="240" w:lineRule="auto"/>
              <w:ind w:left="36" w:right="51" w:hanging="2"/>
              <w:rPr>
                <w:rFonts w:cs="Calibri"/>
                <w:b/>
                <w:bCs/>
                <w:color w:val="262626" w:themeColor="text1" w:themeTint="D9"/>
                <w:sz w:val="22"/>
                <w:szCs w:val="22"/>
              </w:rPr>
            </w:pPr>
            <w:r w:rsidRPr="00BC4205">
              <w:rPr>
                <w:rFonts w:cs="Calibri"/>
                <w:b/>
                <w:color w:val="262626" w:themeColor="text1" w:themeTint="D9"/>
                <w:sz w:val="22"/>
                <w:szCs w:val="22"/>
              </w:rPr>
              <w:t>Yatırım Kuruluşu</w:t>
            </w:r>
          </w:p>
        </w:tc>
        <w:tc>
          <w:tcPr>
            <w:tcW w:w="3751" w:type="pct"/>
          </w:tcPr>
          <w:p w14:paraId="0CDE7C3A" w14:textId="77777777" w:rsidR="00636E11" w:rsidRPr="00BC4205" w:rsidRDefault="00636E11" w:rsidP="00F127D0">
            <w:pPr>
              <w:autoSpaceDE w:val="0"/>
              <w:autoSpaceDN w:val="0"/>
              <w:adjustRightInd w:val="0"/>
              <w:spacing w:before="120" w:after="0" w:line="240" w:lineRule="auto"/>
              <w:ind w:right="51"/>
              <w:jc w:val="both"/>
              <w:rPr>
                <w:rFonts w:cs="Calibri"/>
                <w:color w:val="262626" w:themeColor="text1" w:themeTint="D9"/>
                <w:sz w:val="22"/>
                <w:szCs w:val="22"/>
              </w:rPr>
            </w:pPr>
            <w:r w:rsidRPr="00BC4205">
              <w:rPr>
                <w:rFonts w:cs="Calibri"/>
                <w:color w:val="262626" w:themeColor="text1" w:themeTint="D9"/>
                <w:sz w:val="22"/>
                <w:szCs w:val="22"/>
              </w:rPr>
              <w:t>Borsa üyesi olan ve Sermaye Piyasası Kurulu'ndan "Türev Araçların Alım Satımına Aracılık Yetki Belgesi" almış olan, bu risk bildirim formunu imzalayan müşterinin birlikte türev araçların alım satımına aracılık hükümlerini içeren çerçeve sözleşmesini imzalayacağı Yatırım Kuruluşu veya bankayı,</w:t>
            </w:r>
          </w:p>
        </w:tc>
      </w:tr>
      <w:tr w:rsidR="00636E11" w:rsidRPr="00BC4205" w14:paraId="2AAC286C" w14:textId="77777777" w:rsidTr="00F127D0">
        <w:tc>
          <w:tcPr>
            <w:tcW w:w="1249" w:type="pct"/>
          </w:tcPr>
          <w:p w14:paraId="7F875631" w14:textId="77777777" w:rsidR="00636E11" w:rsidRPr="00BC4205" w:rsidRDefault="00636E11" w:rsidP="00F127D0">
            <w:pPr>
              <w:autoSpaceDE w:val="0"/>
              <w:autoSpaceDN w:val="0"/>
              <w:adjustRightInd w:val="0"/>
              <w:spacing w:before="120" w:after="0" w:line="240" w:lineRule="auto"/>
              <w:ind w:left="36" w:right="51" w:hanging="2"/>
              <w:rPr>
                <w:rFonts w:cs="Calibri"/>
                <w:b/>
                <w:color w:val="262626" w:themeColor="text1" w:themeTint="D9"/>
                <w:sz w:val="22"/>
                <w:szCs w:val="22"/>
              </w:rPr>
            </w:pPr>
            <w:r w:rsidRPr="00BC4205">
              <w:rPr>
                <w:rFonts w:cs="Calibri"/>
                <w:b/>
                <w:bCs/>
                <w:color w:val="262626" w:themeColor="text1" w:themeTint="D9"/>
                <w:sz w:val="22"/>
                <w:szCs w:val="22"/>
              </w:rPr>
              <w:t>Piyasa</w:t>
            </w:r>
          </w:p>
        </w:tc>
        <w:tc>
          <w:tcPr>
            <w:tcW w:w="3751" w:type="pct"/>
          </w:tcPr>
          <w:p w14:paraId="06028B71" w14:textId="77777777" w:rsidR="00636E11" w:rsidRPr="00BC4205" w:rsidRDefault="00636E11" w:rsidP="00F127D0">
            <w:pPr>
              <w:autoSpaceDE w:val="0"/>
              <w:autoSpaceDN w:val="0"/>
              <w:adjustRightInd w:val="0"/>
              <w:spacing w:before="120" w:after="0" w:line="240" w:lineRule="auto"/>
              <w:ind w:right="51"/>
              <w:jc w:val="both"/>
              <w:rPr>
                <w:rFonts w:cs="Calibri"/>
                <w:color w:val="262626" w:themeColor="text1" w:themeTint="D9"/>
                <w:sz w:val="22"/>
                <w:szCs w:val="22"/>
              </w:rPr>
            </w:pPr>
            <w:r w:rsidRPr="00BC4205">
              <w:rPr>
                <w:rFonts w:cs="Calibri"/>
                <w:color w:val="262626" w:themeColor="text1" w:themeTint="D9"/>
                <w:sz w:val="22"/>
                <w:szCs w:val="22"/>
              </w:rPr>
              <w:t>Vadeli İşlem ve Opsiyon piyasası sözleşmelerinin işlem gördüğü piyasaları</w:t>
            </w:r>
          </w:p>
        </w:tc>
      </w:tr>
    </w:tbl>
    <w:p w14:paraId="29977DD2" w14:textId="77777777" w:rsidR="00636E11" w:rsidRPr="00BC4205" w:rsidRDefault="00636E11" w:rsidP="00636E11">
      <w:pPr>
        <w:autoSpaceDE w:val="0"/>
        <w:autoSpaceDN w:val="0"/>
        <w:adjustRightInd w:val="0"/>
        <w:spacing w:after="0" w:line="240" w:lineRule="auto"/>
        <w:ind w:right="51"/>
        <w:jc w:val="both"/>
        <w:rPr>
          <w:rFonts w:cs="Calibri"/>
          <w:color w:val="404040" w:themeColor="text1" w:themeTint="BF"/>
          <w:lang w:eastAsia="tr-TR"/>
        </w:rPr>
      </w:pPr>
    </w:p>
    <w:p w14:paraId="33C298D0" w14:textId="77777777" w:rsidR="00636E11" w:rsidRPr="00BC4205" w:rsidRDefault="00636E11" w:rsidP="00636E11">
      <w:pPr>
        <w:autoSpaceDE w:val="0"/>
        <w:autoSpaceDN w:val="0"/>
        <w:adjustRightInd w:val="0"/>
        <w:spacing w:after="0" w:line="240" w:lineRule="auto"/>
        <w:ind w:right="51"/>
        <w:jc w:val="both"/>
        <w:rPr>
          <w:rFonts w:cs="Calibri"/>
          <w:b/>
          <w:color w:val="262626" w:themeColor="text1" w:themeTint="D9"/>
          <w:lang w:eastAsia="tr-TR"/>
        </w:rPr>
      </w:pPr>
      <w:r w:rsidRPr="00BC4205">
        <w:rPr>
          <w:rFonts w:cs="Calibri"/>
          <w:color w:val="262626" w:themeColor="text1" w:themeTint="D9"/>
          <w:lang w:eastAsia="tr-TR"/>
        </w:rPr>
        <w:t>ifade etmektedir.</w:t>
      </w:r>
    </w:p>
    <w:p w14:paraId="4B6D2DE4"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Risk Bildirimi</w:t>
      </w:r>
    </w:p>
    <w:p w14:paraId="368664DC" w14:textId="77777777" w:rsidR="00636E11" w:rsidRPr="00BC4205" w:rsidRDefault="00636E11" w:rsidP="00636E11">
      <w:pPr>
        <w:autoSpaceDN w:val="0"/>
        <w:spacing w:before="120" w:after="0" w:line="240" w:lineRule="auto"/>
        <w:ind w:right="51"/>
        <w:rPr>
          <w:rFonts w:cs="Calibri"/>
          <w:b/>
          <w:caps/>
          <w:color w:val="262626" w:themeColor="text1" w:themeTint="D9"/>
          <w:lang w:eastAsia="tr-TR"/>
        </w:rPr>
      </w:pPr>
      <w:r w:rsidRPr="00BC4205">
        <w:rPr>
          <w:rFonts w:cs="Calibri"/>
          <w:b/>
          <w:color w:val="262626" w:themeColor="text1" w:themeTint="D9"/>
          <w:lang w:eastAsia="tr-TR"/>
        </w:rPr>
        <w:t>(Vadeli İşlem ve Opsiyon Sözleşmelerinde İşlemlerle İlgili Olarak Yatırımcılar İçin Genel Açıklamalar)</w:t>
      </w:r>
    </w:p>
    <w:p w14:paraId="5CD82E60"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Yatırım Kuruluşu nezdinde açtıracağınız hesap ve bu hesap üzerinden BİST Vadeli İşlem ve Opsiyon Piyasası'nda gerçekleştirilecek tüm işlemler için Sermaye Piyasası Kurulu, Borsa ve Yetkili Takas ve Saklama Kuruluşu tarafından çıkartılan ilgili her türlü mevzuat ve benzeri tüm idari düzenleme hükümleri uygulanacaktır.</w:t>
      </w:r>
    </w:p>
    <w:p w14:paraId="6C780CA3"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Türev Araçlar çeşitli oranlarda risklere tabidir. Piyasada oluşacak fiyat hareketleri sonucunda Yatırım Kuruluşu’na yatırdığınız teminatın tümünü kaybedebileceğiniz gibi, kayıplarınız toplam teminatınızı dahi aşabilecektir.</w:t>
      </w:r>
    </w:p>
    <w:p w14:paraId="5489BB68"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Vadeli İşlem ve Opsiyon Piyasasında pozisyon almak üzere Yatırım Kuruluşu nezdinde açtıracağınız ve teminat yatıracağınız hesabınızdan piyasada alım-satım işleminde bulunacağınız her vadeli işlem (</w:t>
      </w:r>
      <w:proofErr w:type="spellStart"/>
      <w:r w:rsidRPr="00BC4205">
        <w:rPr>
          <w:rFonts w:cs="Calibri"/>
          <w:color w:val="262626" w:themeColor="text1" w:themeTint="D9"/>
          <w:lang w:eastAsia="tr-TR"/>
        </w:rPr>
        <w:t>futures</w:t>
      </w:r>
      <w:proofErr w:type="spellEnd"/>
      <w:r w:rsidRPr="00BC4205">
        <w:rPr>
          <w:rFonts w:cs="Calibri"/>
          <w:color w:val="262626" w:themeColor="text1" w:themeTint="D9"/>
          <w:lang w:eastAsia="tr-TR"/>
        </w:rPr>
        <w:t>) sözleşmesi için en az Borsa'nın belirlediği tutarda bir başlangıç teminatı yatırılması gerekmektedir.</w:t>
      </w:r>
    </w:p>
    <w:p w14:paraId="42E757BA"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lastRenderedPageBreak/>
        <w:t>Yatırım Kuruluşu tarafından yapılacak teminat tamamlama çağrılarının istenen süre içinde ve şekilde yerine getirilmesi, aksi takdirde hiçbir ihbara gerek duymadan pozisyonun piyasa değerinden, özen borcu çerçevesinde zararına da olsa kapatılmasına razı olunması gerekmektedir.</w:t>
      </w:r>
    </w:p>
    <w:p w14:paraId="401D5755"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Borsa Yönetim Kurulu, mevzuatta yer alan belli koşulların varlığı halinde, vadeli işlem ve opsiyon sözleşmelerinin vade bitim tarihlerini belirlemeye veya belirlenmiş olan vade bitim tarihlerini değiştirmeye ve pozisyonları tasfiye etmeye yetkilidir.</w:t>
      </w:r>
    </w:p>
    <w:p w14:paraId="40AC2CC6"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Bir opsiyon sözleşmesi alırsanız, opsiyonu kullanmadığınız takdirde riskinizi, opsiyon primi ve buna ek olarak ödeyeceğiniz komisyon ve diğer muamele ücreti ile sınırlamanız mümkündür.</w:t>
      </w:r>
    </w:p>
    <w:p w14:paraId="283E7A0E"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Bir opsiyon satarsanız, görece küçük ters bir piyasa hareketinde, opsiyon satmakla elde ettiğiniz prim ödemesini aşabilecek sınırsız potansiyel kayıp riskini üstlenirsiniz. Opsiyonu yerine getirmeniz istendiğinde, bunun üzerinde herhangi bir kontrol yetkiniz yoktur. Dolayısıyla, sadece yüksek sermayeye sahip deneyimli kişiler opsiyon satmaya teşebbüs etmelidirler.</w:t>
      </w:r>
    </w:p>
    <w:p w14:paraId="7FDD218E"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Opsiyonların birçok çeşidi vardır ve kendinizi bir taahhüt altına sokmadan önce, Yatırım Kuruluşunuzla yatırım ihtiyaçlarınız ve tip sözleşmelere taraf olmanın içerdiği riskler konusunda fikir alışverişinde bulunmalısınız,</w:t>
      </w:r>
    </w:p>
    <w:p w14:paraId="615D46CF"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Piyasanın sıkışık, likiditenin oldukça düşük olduğu, maksimum fiyat hareketinin gerçekleştiği bir ortamda, sistemde piyasa yapıcılığı mevcut ise; piyasa yapıcılarının en geniş banttan kotasyon verdikleri piyasa şartlarında, riski sınırlama imkânı veren "şarta bağlı emirler" ile "strateji emirleri" de dâhil olmak üzere Yatırım Kuruluşu vasıtasıyla piyasaya iletilmesi istenilen emrin gerçekleşmeme ihtimali dikkate alınmalıdır.</w:t>
      </w:r>
    </w:p>
    <w:p w14:paraId="527267B6"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Vadeli işlem sözleşmesinde "spread" (fark veya yayılma) pozisyonu almak normal şartlarda daha az risklidir. Ancak olağanüstü piyasa şartlarında yayılma pozisyonu vadeli işlemler piyasasında doğrudan uzun veya kısa pozisyon almaktan her zaman daha az riskli olmayabilir.</w:t>
      </w:r>
    </w:p>
    <w:p w14:paraId="0A019C45"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Kaldıraç etkisi nedeniyle, düşük teminatla işlem yapmanın piyasada lehe çalışabileceği gibi aleyhe de çalışabileceği ve bu anlamda kaldıraç etkisinin tarafınıza yüksek kazançlar sağlayabileceği gibi zararlara da yol açabileceği ihtimali göz önünde bulundurulmalıdır.</w:t>
      </w:r>
    </w:p>
    <w:p w14:paraId="7AD4ACCC"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Borsa tarafından, hesap ve firma bazında belirlenen pozisyon limitine ulaşıldığı takdirde pozisyonunuzu kapatmak dışında vereceğiniz emirler piyasada gerçekleşmeyebilecektir.</w:t>
      </w:r>
    </w:p>
    <w:p w14:paraId="4BF614FB"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 xml:space="preserve">Piyasadaki fiyat hareketleri, almış olduğunuz pozisyon aleyhine geliştiğinde hesabınız Borsa tarafından "riskli" hesap olarak belirlenebilir. Bu durumda Borsaya pasif emir girişi yapılamayabilecektir. </w:t>
      </w:r>
    </w:p>
    <w:p w14:paraId="3A8FB93A"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Yatırım Kuruluşu’nun türev piyasalarda yapacağınız işlemlere ilişkin tarafınıza aktaracağı bilgiler ve yapacağı tavsiyelerin eksik ve doğrulanmaya muhtaç olabileceği tarafınızca dikkate alınmalıdır.</w:t>
      </w:r>
    </w:p>
    <w:p w14:paraId="36C1A9F5"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Vadeli işlem ve opsiyon sözleşmelerinin alım satımına ilişkin olarak Yatırım Kuruluşu’nun yetkili personelince yapılacak teknik ve temel analizin kişiden kişiye farklılık arz edebileceği ve bu analizlerde yapılan öngörülerin kesin olarak gerçekleşmeme olasılığının bulunduğu dikkate alınmalıdır.</w:t>
      </w:r>
    </w:p>
    <w:p w14:paraId="3EA1E536"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Yabancı para cinsinden menkul kıymetlerde, yukarıda sayılan risklere ek olarak kur riskinin olduğunu, kur dalgalanmaları nedeniyle Türk Lirası bazında değer kaybı olabileceği, devletlerin yabancı sermaye ve döviz hareketlerini kısıtlayabileceği, ek ve/veya yeni vergiler getirebileceği, alım satım işlemlerinin zamanında gerçekleşmeyebileceği ve teslimat öngörülen sözleşmelerde fiziksel varlığın teslim edilmeme riskine de maruz kalınabileceği bilinmelidir.</w:t>
      </w:r>
    </w:p>
    <w:p w14:paraId="63E30DD9" w14:textId="77777777" w:rsidR="00636E11" w:rsidRPr="00BC4205" w:rsidRDefault="00636E11" w:rsidP="00636E11">
      <w:pPr>
        <w:pStyle w:val="ListeParagraf"/>
        <w:numPr>
          <w:ilvl w:val="0"/>
          <w:numId w:val="2"/>
        </w:numPr>
        <w:tabs>
          <w:tab w:val="left" w:pos="426"/>
        </w:tabs>
        <w:autoSpaceDE w:val="0"/>
        <w:autoSpaceDN w:val="0"/>
        <w:adjustRightInd w:val="0"/>
        <w:spacing w:before="120" w:after="0" w:line="240" w:lineRule="auto"/>
        <w:ind w:left="426" w:right="50" w:hanging="426"/>
        <w:contextualSpacing w:val="0"/>
        <w:jc w:val="both"/>
        <w:rPr>
          <w:rFonts w:cs="Calibri"/>
          <w:color w:val="262626" w:themeColor="text1" w:themeTint="D9"/>
          <w:lang w:eastAsia="tr-TR"/>
        </w:rPr>
      </w:pPr>
      <w:r w:rsidRPr="00BC4205">
        <w:rPr>
          <w:rFonts w:cs="Calibri"/>
          <w:color w:val="262626" w:themeColor="text1" w:themeTint="D9"/>
          <w:lang w:eastAsia="tr-TR"/>
        </w:rPr>
        <w:t xml:space="preserve">İşlemlerinize başlamadan önce Yatırım Kuruluşu’nuzdan yükümlü olacağınız bütün komisyon ve diğer muamele ücretleri konusunda teyit almalısınız. Eğer ücretler parasal olarak ifade edilmemişse, (sözleşme fiyatının belli bir yüzdesi dışında) ücretlerin parasal olarak size nasıl </w:t>
      </w:r>
      <w:r w:rsidRPr="00BC4205">
        <w:rPr>
          <w:rFonts w:cs="Calibri"/>
          <w:color w:val="262626" w:themeColor="text1" w:themeTint="D9"/>
          <w:lang w:eastAsia="tr-TR"/>
        </w:rPr>
        <w:lastRenderedPageBreak/>
        <w:t>yansıyacağı ile ilgili anlaşılır örnekler içeren yazılı bir açıklama talep etmelisiniz. Komisyonun belli bir yüzde olarak tahsil edileceği durumlarda, sizin yatırdığınız paranın değil de, sözleşme değerinin belli bir yüzdesi olarak tahsil edileceği şeklinde anlaşmaya varmalısınız.</w:t>
      </w:r>
    </w:p>
    <w:p w14:paraId="189737BE" w14:textId="77777777" w:rsidR="00636E11" w:rsidRPr="00BC4205" w:rsidRDefault="00636E11" w:rsidP="00636E11">
      <w:pPr>
        <w:autoSpaceDE w:val="0"/>
        <w:autoSpaceDN w:val="0"/>
        <w:adjustRightInd w:val="0"/>
        <w:spacing w:before="120" w:after="0" w:line="240" w:lineRule="auto"/>
        <w:ind w:right="50"/>
        <w:jc w:val="both"/>
        <w:rPr>
          <w:rFonts w:cs="Calibri"/>
          <w:b/>
          <w:color w:val="262626" w:themeColor="text1" w:themeTint="D9"/>
          <w:lang w:eastAsia="tr-TR"/>
        </w:rPr>
      </w:pPr>
      <w:r w:rsidRPr="00BC4205">
        <w:rPr>
          <w:rFonts w:cs="Calibri"/>
          <w:b/>
          <w:color w:val="262626" w:themeColor="text1" w:themeTint="D9"/>
          <w:lang w:eastAsia="tr-TR"/>
        </w:rPr>
        <w:t>İşbu türev araçlar risk bildirim formu, yatırımcıya genel olarak mevcut riskler hakkında bilgilendirmeyi amaçlamakta olup, vadeli işlem ve opsiyon sözleşmelerinin alım-satımından ve uygulamadan kaynaklanabilecek tüm riskleri kapsamayabilir. Dolayısıyla tasarruflarınızı bu tip yatırımlara yönlendirmeden önce dikkatli bir şekilde araştırma yapmalısınız.</w:t>
      </w:r>
    </w:p>
    <w:p w14:paraId="13FD2821" w14:textId="77777777" w:rsidR="00636E11" w:rsidRPr="00776A7F" w:rsidRDefault="00636E11" w:rsidP="00A714ED">
      <w:pPr>
        <w:pStyle w:val="Balk1"/>
        <w:contextualSpacing/>
        <w:jc w:val="center"/>
        <w:rPr>
          <w:rFonts w:ascii="Calibri" w:hAnsi="Calibri" w:cs="Calibri"/>
          <w:b/>
          <w:bCs/>
          <w:caps/>
          <w:color w:val="auto"/>
          <w:sz w:val="24"/>
          <w:szCs w:val="24"/>
        </w:rPr>
      </w:pPr>
      <w:bookmarkStart w:id="15" w:name="_Yatırım_Fonlarına_İlişkin"/>
      <w:bookmarkEnd w:id="15"/>
      <w:r w:rsidRPr="00776A7F">
        <w:rPr>
          <w:rFonts w:ascii="Calibri" w:hAnsi="Calibri" w:cs="Calibri"/>
          <w:b/>
          <w:bCs/>
          <w:caps/>
          <w:color w:val="auto"/>
          <w:sz w:val="24"/>
          <w:szCs w:val="24"/>
        </w:rPr>
        <w:t>Yatırım Fonlarına İlişkin Risk Bildirim Formu</w:t>
      </w:r>
    </w:p>
    <w:p w14:paraId="71F928D1" w14:textId="77777777" w:rsidR="00636E11" w:rsidRPr="00BC4205" w:rsidRDefault="00636E11" w:rsidP="00636E11">
      <w:pPr>
        <w:shd w:val="clear" w:color="auto" w:fill="FFFFFF"/>
        <w:spacing w:before="120" w:after="0" w:line="240" w:lineRule="auto"/>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 xml:space="preserve">Önemli Açıklama </w:t>
      </w:r>
    </w:p>
    <w:p w14:paraId="7E9FC7EB"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Yatırım fonları katılma paylarının alım/satım işlemleri sonucunda kâr elde edebileceğiniz gibi zarar riskiniz de bulunmaktadır. Bu nedenle, işlem yapmaya karar vermeden önce, piyasada karşılaşabileceğiniz riskleri anlamanız, mali durumunuzu ve kısıtlarınızı dikkate alarak karar vermeniz gerekmektedir. </w:t>
      </w:r>
    </w:p>
    <w:p w14:paraId="52C57516"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Genel Bilgi</w:t>
      </w:r>
    </w:p>
    <w:p w14:paraId="7C29AA6D"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Yatırım fonu, sermaye piyasası mevzuatı çerçevesinde, tasarruf sahiplerinden katılma payı karşılığında toplanan para ya da diğer varlıklarla, tasarruf sahipleri hesabına, inançlı mülkiyet esaslarına göre, Sermaye Piyasası Kurulu tarafından belirlenen varlıklar ve işlemlerden oluşan portföy veya portföyleri işletmek amacıyla portföy yönetim şirketleri tarafından içtüzük ile kurulan ve tüzel kişiliği bulunmayan mal varlığını ifade eder. </w:t>
      </w:r>
    </w:p>
    <w:p w14:paraId="657C04D7"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Yatırım fonu katılma payı alım/satım işlemleri gerçekleştirmeden önce ihtiyaçlarınıza uygun şemsiye fonu ve şemsiye fona bağlı yatırım fonunu belirleyerek, fon kurucusu, fon yöneticisi, yatırım fonu ve piyasa ile ilişkili riskleri tespit etmenizi ve yatırım kararlarınızı bu çerçevede vermenizi tavsiye etmekteyiz. </w:t>
      </w:r>
    </w:p>
    <w:p w14:paraId="61D2A603"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b/>
          <w:color w:val="262626" w:themeColor="text1" w:themeTint="D9"/>
        </w:rPr>
        <w:t>Yatırım Fonlarına İlişkin Bilgilendirme Dokümanları</w:t>
      </w:r>
      <w:r w:rsidRPr="00BC4205">
        <w:rPr>
          <w:rFonts w:cs="Calibri"/>
          <w:color w:val="262626" w:themeColor="text1" w:themeTint="D9"/>
        </w:rPr>
        <w:t xml:space="preserve">: İlgili sermaye piyasası mevzuatı kapsamında, fonlara ilişkin olarak şemsiye fon içtüzüğü, fon izahnamesi ve yatırımcı bilgi formu olmak üzere üç adet bilgilendirme dokümanı mevcuttur. Bazı fon türleri bakımından yatırımcı bilgi formu hazırlanması zorunlu değildir. Yatırım kararı vermeden önce bahsi geçen dokümanları dikkatlice değerlendirmeniz ve gerek duymanız durumunda profesyonel yardım almanız tavsiye olunur. </w:t>
      </w:r>
    </w:p>
    <w:p w14:paraId="6937AF3B"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RİSK BİLDİRİMİ</w:t>
      </w:r>
    </w:p>
    <w:p w14:paraId="184A6B17"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 xml:space="preserve">Yatırım fonu katılma payı işlemleri, çeşitli tür ve oranlarda risklere tabidir. Yatırım fonu katılma paylarına yaptığınız yatırımların tamamını kaybedebilir ve beklediğiniz kazançtan mahrum kalabilirsiniz. </w:t>
      </w:r>
    </w:p>
    <w:p w14:paraId="79FB001C"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 xml:space="preserve">Yatırım fonlarının katılma payı ihracına izin verilmesi veya yatırım fonu katılma paylarının Türkiye Elektronik Fon Alım/ Satım Platformu (“TEFAS”) nezdinde işlem görmesi, katılma paylarının Sermaye Piyasası Kurulu veya İstanbul Takas ve Saklama Bankası A.Ş. (“Takasbank”) tarafından tekeffül edildiği anlamına gelmemektedir. </w:t>
      </w:r>
    </w:p>
    <w:p w14:paraId="2D401933"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 xml:space="preserve">Yatırım fonu portföyündeki varlıklar, portföye borsa dışından alınan sermaye araçları nedeniyle karşı taraf riskine, piyasadaki fiyat, kur, faiz değişimlerine ve diğer gelişmelere bağlı olarak piyasa riskine, piyasadaki arz/talep dengesi çerçevesinde likidite riskine ve diğer özel risk türlerine maruz kalabilecektir. Yatırım fonu portföyündeki varlıkların taşıdığı riskler çerçevesinde, fon portföyü değerinin olumsuz etkilenmesi durumunda, fon katılma paylarının değeri de düşüş yaşayabilecektir. </w:t>
      </w:r>
    </w:p>
    <w:p w14:paraId="0F138A14"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 xml:space="preserve">Yüksek risk içeren yatırım fonları, daha yüksek getiri imkânı sağlayabilmekle birlikte, bu fonlara ait katılma paylarına yatırım yapmanız durumunda üstlendiğiniz riskin de daha fazla olduğunun bilincinde olmalısınız. Yatırım kararı vermeden önce, işlem gerçekleştirmek istediğiniz yatırım </w:t>
      </w:r>
      <w:r w:rsidRPr="00BC4205">
        <w:rPr>
          <w:rFonts w:cs="Calibri"/>
          <w:color w:val="262626" w:themeColor="text1" w:themeTint="D9"/>
        </w:rPr>
        <w:lastRenderedPageBreak/>
        <w:t xml:space="preserve">fonlarının barındırdıkları risk unsurlarını dikkatlice değerlendirmeniz ve gerek duymanız durumunda profesyonel yardım almanız tavsiye olunur. </w:t>
      </w:r>
    </w:p>
    <w:p w14:paraId="7BA4DEDA"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 xml:space="preserve">Yatırım fonu katılma payı alım/satım işlemleri karşı taraf riski ihtiva etmektedir. Bu doğrultuda, işleme başlamadan önce, yatırım yapmayı düşündüğünüz yatırım fonunun mali yükümlülüklerini karşılayamaz duruma gelmesi ihtimalini göz önünde bulundurmalısınız. </w:t>
      </w:r>
    </w:p>
    <w:p w14:paraId="7F065D3C"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 xml:space="preserve">Yatırım fonu katılma payı işlemlerinin, ilgili yatırım fonuna ilişkin bilgilendirme dokümanlarında yer alan katılma paylarının fona iadesine ilişkin kurallara tabi olduğunun ve fon portföyünün yeterince likit olmaması gibi nedenler ile likidite riski taşıyabileceğinin bilincinde olmalısınız. </w:t>
      </w:r>
    </w:p>
    <w:p w14:paraId="3233B35F"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 xml:space="preserve">Bazı yatırım fonlarının katılma paylarının alım/satımı, sermaye piyasası mevzuatında yer alan şartlar çerçevesinde yabancı para birimleri üzerinden gerçekleştirilebilmektedir. Yabancı para cinsinden yapılan katılma payı alım/satım işlemlerinde, yukarıda sayılan risklere ek olarak kur riskinin de olduğu, kur dalgalanmaları nedeniyle Türk Lirası bazında değer kaybı olabileceği, devletlerin yabancı sermaye ve döviz hareketlerini kısıtlayabileceği, ek ve/veya yeni vergiler getirebileceği, alım/satım işlemlerinin zamanında gerçekleşmeyebileceği bilinmelidir. </w:t>
      </w:r>
    </w:p>
    <w:p w14:paraId="0474FEA2"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Yatırım fonlarının geçmiş dönem performanslarının, yatırım fonunun gelecek dönemde de getiri elde edeceği yönünde bir garanti sağlamayabileceğinin bilincinde olmalısınız.</w:t>
      </w:r>
    </w:p>
    <w:p w14:paraId="17594C65"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 xml:space="preserve">Yatırım fonlarının bilgilendirme dokümanları (şemsiye fon içtüzüğü, fon izahnamesi ve yatırımcı bilgi formu) yatırım kararınızı etkileyebilecek önemli bilgiler ihtiva etmekte olup, yatırım kararı vermeden önce fona ilişkin bilgilendirme dokümanlarını dikkatle değerlendirmeniz ve gerekli görmeniz durumunda profesyonel yardım almanız tavsiye edilmektedir. </w:t>
      </w:r>
    </w:p>
    <w:p w14:paraId="57D4735D"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Bilgilendirme dokümanlarında muhtelif zamanlarda değişiklik yapılması mümkündür. Bilgilendirme dokümanlarında yapılabilecek değişiklikleri takip etmenizi tavsiye etmekle birlikte, sermaye piyasası mevzuatı çerçevesinde yapılan değişikliklerin Sermaye Piyasası Kurulu’nun onayına sunulmayabileceği ve ilan yükümlülüğünden muaf tutulabileceğinin bilincinde olmalısınız.</w:t>
      </w:r>
    </w:p>
    <w:p w14:paraId="0C5AAB3A"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 xml:space="preserve">Serbest fonların, diğer yatırım fonları için sermaye piyasası mevzuatında öngörülen sınırlamalara tabi olmamaları nedeniyle, daha yüksek risk ihtiva ettiklerini göz önünde bulundurmalısınız. </w:t>
      </w:r>
    </w:p>
    <w:p w14:paraId="0D678DE4" w14:textId="77777777" w:rsidR="00636E11" w:rsidRPr="00BC4205" w:rsidRDefault="00636E11" w:rsidP="00636E11">
      <w:pPr>
        <w:pStyle w:val="ListeParagraf"/>
        <w:numPr>
          <w:ilvl w:val="0"/>
          <w:numId w:val="15"/>
        </w:numPr>
        <w:autoSpaceDE w:val="0"/>
        <w:autoSpaceDN w:val="0"/>
        <w:adjustRightInd w:val="0"/>
        <w:spacing w:before="120" w:after="0" w:line="240" w:lineRule="auto"/>
        <w:ind w:left="284" w:right="50" w:hanging="284"/>
        <w:contextualSpacing w:val="0"/>
        <w:jc w:val="both"/>
        <w:rPr>
          <w:rFonts w:cs="Calibri"/>
          <w:b/>
          <w:color w:val="262626" w:themeColor="text1" w:themeTint="D9"/>
        </w:rPr>
      </w:pPr>
      <w:r w:rsidRPr="00BC4205">
        <w:rPr>
          <w:rFonts w:cs="Calibri"/>
          <w:color w:val="262626" w:themeColor="text1" w:themeTint="D9"/>
        </w:rPr>
        <w:t>Yatırım Fonlarına İlişkin Risk Bildirim Formu, forma konu piyasa ve piyasada işlem gören ürünlere ilişkin riskler hakkında genel olarak bilgilendirilmenizi amaçlamakta olup, yatırım fonu işlemlerinden ve uygulamadan kaynaklanabilecek tüm riskleri kapsamayabilir. Bu nedenle yatırım kararı almadan önce işlem gerçekleştirmek istediğiniz yatırım fonu, fon kurucusu, fon yöneticisi, fonun amacı, yatırım stratejisi, riskleri ile fon bilgilendirme dokümanları (şemsiye fon içtüzüğü, fon izahnamesi ve yatırımcı bilgi formu) ile ilgili gerekli araştırmayı yapmanızı ve profesyonel yardım almanızı tavsiye ederiz.</w:t>
      </w:r>
    </w:p>
    <w:p w14:paraId="58BB11AF" w14:textId="77777777" w:rsidR="00636E11" w:rsidRPr="00776A7F" w:rsidRDefault="00636E11" w:rsidP="00A714ED">
      <w:pPr>
        <w:pStyle w:val="Balk1"/>
        <w:contextualSpacing/>
        <w:jc w:val="center"/>
        <w:rPr>
          <w:rFonts w:ascii="Calibri" w:hAnsi="Calibri" w:cs="Calibri"/>
          <w:b/>
          <w:bCs/>
          <w:caps/>
          <w:color w:val="auto"/>
          <w:sz w:val="24"/>
          <w:szCs w:val="24"/>
        </w:rPr>
      </w:pPr>
      <w:bookmarkStart w:id="16" w:name="_SERBEST_FONLARA_İLİŞKİN"/>
      <w:bookmarkEnd w:id="16"/>
      <w:r w:rsidRPr="00776A7F">
        <w:rPr>
          <w:rFonts w:ascii="Calibri" w:hAnsi="Calibri" w:cs="Calibri"/>
          <w:b/>
          <w:bCs/>
          <w:caps/>
          <w:color w:val="auto"/>
          <w:sz w:val="24"/>
          <w:szCs w:val="24"/>
        </w:rPr>
        <w:t>SERBEST FONLARA İLİŞKİN RİSK BİLDİRİM FORMU</w:t>
      </w:r>
    </w:p>
    <w:p w14:paraId="1BA246B6" w14:textId="77777777" w:rsidR="00636E11" w:rsidRPr="00BC4205" w:rsidRDefault="00636E11" w:rsidP="00636E11">
      <w:pPr>
        <w:shd w:val="clear" w:color="auto" w:fill="FFFFFF"/>
        <w:spacing w:before="120" w:after="0" w:line="240" w:lineRule="auto"/>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 xml:space="preserve">Önemli Açıklama </w:t>
      </w:r>
    </w:p>
    <w:p w14:paraId="3B7F6951" w14:textId="77777777" w:rsidR="00636E11" w:rsidRPr="00BC4205" w:rsidRDefault="00636E11" w:rsidP="00636E11">
      <w:pPr>
        <w:spacing w:before="120" w:after="120" w:line="240" w:lineRule="auto"/>
        <w:jc w:val="both"/>
        <w:rPr>
          <w:rFonts w:eastAsia="Tahoma" w:cs="Calibri"/>
          <w:bCs/>
          <w:color w:val="262626" w:themeColor="text1" w:themeTint="D9"/>
          <w:spacing w:val="-1"/>
          <w:position w:val="-1"/>
        </w:rPr>
      </w:pPr>
      <w:r w:rsidRPr="00BC4205">
        <w:rPr>
          <w:rFonts w:eastAsia="Tahoma" w:cs="Calibri"/>
          <w:bCs/>
          <w:color w:val="262626" w:themeColor="text1" w:themeTint="D9"/>
          <w:spacing w:val="-1"/>
          <w:position w:val="-1"/>
        </w:rPr>
        <w:t xml:space="preserve">III-39.1 sayılı “Yatırım Kuruluşlarının Kuruluş ve Faaliyet Esasları Hakkında </w:t>
      </w:r>
      <w:proofErr w:type="spellStart"/>
      <w:r w:rsidRPr="00BC4205">
        <w:rPr>
          <w:rFonts w:eastAsia="Tahoma" w:cs="Calibri"/>
          <w:bCs/>
          <w:color w:val="262626" w:themeColor="text1" w:themeTint="D9"/>
          <w:spacing w:val="-1"/>
          <w:position w:val="-1"/>
        </w:rPr>
        <w:t>Tebliğ”in</w:t>
      </w:r>
      <w:proofErr w:type="spellEnd"/>
      <w:r w:rsidRPr="00BC4205">
        <w:rPr>
          <w:rFonts w:eastAsia="Tahoma" w:cs="Calibri"/>
          <w:bCs/>
          <w:color w:val="262626" w:themeColor="text1" w:themeTint="D9"/>
          <w:spacing w:val="-1"/>
          <w:position w:val="-1"/>
        </w:rPr>
        <w:t xml:space="preserve"> 25 inci maddesinde öngörüldüğü üzere sermaye piyasası araçları ile yatırım hizmet ve faaliyetlerine ilişkin genel riskleri açıklamak amacıyla asgari içeriği Kurulca belirlenmiş ve bir örneği tarafınıza sunulmuş olan "Yatırım Hizmet ve Faaliyetleri Genel Risk Bildirim </w:t>
      </w:r>
      <w:proofErr w:type="spellStart"/>
      <w:r w:rsidRPr="00BC4205">
        <w:rPr>
          <w:rFonts w:eastAsia="Tahoma" w:cs="Calibri"/>
          <w:bCs/>
          <w:color w:val="262626" w:themeColor="text1" w:themeTint="D9"/>
          <w:spacing w:val="-1"/>
          <w:position w:val="-1"/>
        </w:rPr>
        <w:t>Formu"nda</w:t>
      </w:r>
      <w:proofErr w:type="spellEnd"/>
      <w:r w:rsidRPr="00BC4205">
        <w:rPr>
          <w:rFonts w:eastAsia="Tahoma" w:cs="Calibri"/>
          <w:bCs/>
          <w:color w:val="262626" w:themeColor="text1" w:themeTint="D9"/>
          <w:spacing w:val="-1"/>
          <w:position w:val="-1"/>
        </w:rPr>
        <w:t xml:space="preserve"> yer alan hususlara ek olarak, Serbest Fonlara ilişkin aşağıdaki hususları anlamanız gerekmektedir.</w:t>
      </w:r>
    </w:p>
    <w:p w14:paraId="21F820EB"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Cs/>
          <w:color w:val="262626" w:themeColor="text1" w:themeTint="D9"/>
          <w:spacing w:val="-1"/>
          <w:position w:val="-1"/>
        </w:rPr>
        <w:t xml:space="preserve">Serbest Fonlar yüksek riskli finansal ürünlere oransal sınırlamalara ve diğer şartlara tabi olmaksızın fon izahnamesinden belirtilen yatırım stratejisi ve limitleri dahilinde yatırım yapabilirler. Serbest Fonlarda yapacağınız alım-satım işlemleri sonucunda kar elde edebileceğiniz gibi zarar riskiniz de bulunmaktadır. Bu fonların getirileri yüksek volatiliteye sahiptir. Mevzuat hükümleri doğrultusunda, periyodik bilgilendirme esasları diğer fonlardan farklıdır. Yatırımcılardan mevzuat ve izahname hükümleri </w:t>
      </w:r>
      <w:r w:rsidRPr="00BC4205">
        <w:rPr>
          <w:rFonts w:eastAsia="Tahoma" w:cs="Calibri"/>
          <w:bCs/>
          <w:color w:val="262626" w:themeColor="text1" w:themeTint="D9"/>
          <w:spacing w:val="-1"/>
          <w:position w:val="-1"/>
        </w:rPr>
        <w:lastRenderedPageBreak/>
        <w:t>çerçevesinde “Performans Ücreti” tahsil edilmektedir.  Bu nedenlerle, Serbest Fonlarda işlem yapmaya karar vermeden önce;  izahnameyi dikkatlice okumanız,  piyasada karşılaşabileceğiniz riskleri anlamanız, mali durumunuzu ve kısıtlarınızı dikkate alarak karar vermeniz gerekmektedir.</w:t>
      </w:r>
    </w:p>
    <w:p w14:paraId="47139EB4"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Uyarı</w:t>
      </w:r>
    </w:p>
    <w:p w14:paraId="56BC363B" w14:textId="77777777" w:rsidR="00636E11" w:rsidRPr="00BC4205" w:rsidRDefault="00636E11" w:rsidP="00636E11">
      <w:pPr>
        <w:spacing w:before="120" w:after="120" w:line="240" w:lineRule="auto"/>
        <w:jc w:val="both"/>
        <w:rPr>
          <w:rFonts w:eastAsia="Tahoma" w:cs="Calibri"/>
          <w:bCs/>
          <w:color w:val="262626" w:themeColor="text1" w:themeTint="D9"/>
          <w:spacing w:val="-1"/>
          <w:position w:val="-1"/>
        </w:rPr>
      </w:pPr>
      <w:r w:rsidRPr="00BC4205">
        <w:rPr>
          <w:rFonts w:eastAsia="Tahoma" w:cs="Calibri"/>
          <w:bCs/>
          <w:color w:val="262626" w:themeColor="text1" w:themeTint="D9"/>
          <w:spacing w:val="-1"/>
          <w:position w:val="-1"/>
        </w:rPr>
        <w:t>İşlem yapmaya başlamadan önce çalışmayı düşündüğünüz kuruluşun Portföy Yönetimi Yetki Belgesi olup olmadığını kontrol ediniz. Portföy Yönetimi faaliyeti konusunda yetkili olan banka ve sermaye piyasası aracı kurumlarını www.spk.gov.tr veya www.tspakb.org.tr web sitelerinden öğrenebilirsiniz.</w:t>
      </w:r>
    </w:p>
    <w:p w14:paraId="0D796348"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Risk Bildirimi</w:t>
      </w:r>
    </w:p>
    <w:p w14:paraId="04E27F93" w14:textId="77777777" w:rsidR="00636E11" w:rsidRPr="00BC4205" w:rsidRDefault="00636E11" w:rsidP="00636E11">
      <w:pPr>
        <w:spacing w:before="120" w:after="120" w:line="240" w:lineRule="auto"/>
        <w:jc w:val="both"/>
        <w:rPr>
          <w:rFonts w:eastAsia="Tahoma" w:cs="Calibri"/>
          <w:bCs/>
          <w:color w:val="262626" w:themeColor="text1" w:themeTint="D9"/>
          <w:spacing w:val="-1"/>
          <w:position w:val="-1"/>
        </w:rPr>
      </w:pPr>
      <w:r w:rsidRPr="00BC4205">
        <w:rPr>
          <w:rFonts w:eastAsia="Tahoma" w:cs="Calibri"/>
          <w:bCs/>
          <w:color w:val="262626" w:themeColor="text1" w:themeTint="D9"/>
          <w:spacing w:val="-1"/>
          <w:position w:val="-1"/>
        </w:rPr>
        <w:t>Yatırımcılar fona yatırım yapmadan önce fonla ilgili temel yatırım risklerini değerlendirmelidirler.  Yatırımcıların fonun maruz kaldığı temel risklerden kaynaklanabilecek değişimler sonucunda fon fiyatındaki olası düşüşlere bağlı olarak yatırımlarının değerinin başlangıç değerinin altına düşebileceğini ve/veya yatırdıkları paranın tamamını kaybedebileceklerini göz önünde bulundurmaları gerekmektedir.</w:t>
      </w:r>
    </w:p>
    <w:p w14:paraId="0044E9A5"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Cs/>
          <w:color w:val="262626" w:themeColor="text1" w:themeTint="D9"/>
          <w:spacing w:val="-1"/>
          <w:position w:val="-1"/>
        </w:rPr>
        <w:t>Fon portföyünde yer alacak olan çeşitli finansal enstrümanlar özellikle de türev araçlar nedeniyle maruz kalınan risk sınıflarını kısaca şu şekilde ifade edebiliriz.</w:t>
      </w:r>
    </w:p>
    <w:p w14:paraId="6EC41E1A"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t>Piyasa Riski:</w:t>
      </w:r>
      <w:r w:rsidRPr="00BC4205">
        <w:rPr>
          <w:rFonts w:eastAsia="Tahoma" w:cs="Calibri"/>
          <w:bCs/>
          <w:color w:val="262626" w:themeColor="text1" w:themeTint="D9"/>
          <w:spacing w:val="-1"/>
          <w:position w:val="-1"/>
        </w:rPr>
        <w:t xml:space="preserve"> Fon portföyü içerisinde taşınan pozisyonların değerinde finansal piyasadaki dalgalanmalardan kaynaklanan faiz, kur ve ortaklık payı fiyat değişmelerine bağlı olarak ortaya çıkan faiz oranı riski, ortaklık payı fiyat riski ve kur riski gibi riskler nedeniyle portföyün zarar etme ihtimalini ifade eder. Faiz oranlarında ortaya çıkan değişmeler, hem değişken faizli menkul kıymetlerin faiz getirilerinde değişime neden olabilmekte hem de diğer yatırım araçlarının gelecekteki nakit akışlarının bugünkü değerlerini etkileyerek söz konusu araçların fiyatlarında değişime neden olabilmektedir. Ortaklık payı ve emtia fiyatlarındaki değişimler, bu varlıklara ilişkin spot veya vadeli pozisyonların fiyatlarında değişime neden olabilmektedir. Kurlardaki değişimler de yabancı para cinsinden nakit akışları bulunan veya yabancı para cinsinden değerlenen varlıkların fiyatlarında değişime neden olabilmektedir.</w:t>
      </w:r>
    </w:p>
    <w:p w14:paraId="74C3D05E"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t>Yoğunlaşma Riski:</w:t>
      </w:r>
      <w:r w:rsidRPr="00BC4205">
        <w:rPr>
          <w:rFonts w:eastAsia="Tahoma" w:cs="Calibri"/>
          <w:bCs/>
          <w:color w:val="262626" w:themeColor="text1" w:themeTint="D9"/>
          <w:spacing w:val="-1"/>
          <w:position w:val="-1"/>
        </w:rPr>
        <w:t xml:space="preserve"> Fon portföyünde risk/getiri dengesi açısından yeterli optimizasyonun sağlanamamasına bağlı olarak belli bir varlığa ve/veya vadeye yoğun yatırım yapılması sonucunda, portföyün ani getiri değişimleri etkisine maruz kalması, portföyün dengeli biçimde çeşitlendirilememesi riskidir. Bu risk Fon’un aralarında pozitif korelasyon bulunan finansal enstrümanlara yoğunlaşması dolayısıyla belirli bir enstrüman grubunda korelasyon kırılmasından dolayı fon getirisinin olumsuz yönde etkilenmesine neden olabilir.</w:t>
      </w:r>
    </w:p>
    <w:p w14:paraId="171D9738"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t>Baz Riski:</w:t>
      </w:r>
      <w:r w:rsidRPr="00BC4205">
        <w:rPr>
          <w:rFonts w:eastAsia="Tahoma" w:cs="Calibri"/>
          <w:bCs/>
          <w:color w:val="262626" w:themeColor="text1" w:themeTint="D9"/>
          <w:spacing w:val="-1"/>
          <w:position w:val="-1"/>
        </w:rPr>
        <w:t xml:space="preserve"> Vadeli işlem kontratlarının cari değeri ile konu olan ilgili finansal enstrüman spot fiyatının aldığı değer arasındaki fiyat farklılığı değişimini ifade eder. Sözleşmeyle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Dolayısıyla burada Baz Değer’in sözleşme vadesi boyunca göstereceği değişimi riski ifade eder.</w:t>
      </w:r>
    </w:p>
    <w:p w14:paraId="653EF690"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t xml:space="preserve">Korelasyon Riski: </w:t>
      </w:r>
      <w:r w:rsidRPr="00BC4205">
        <w:rPr>
          <w:rFonts w:eastAsia="Tahoma" w:cs="Calibri"/>
          <w:bCs/>
          <w:color w:val="262626" w:themeColor="text1" w:themeTint="D9"/>
          <w:spacing w:val="-1"/>
          <w:position w:val="-1"/>
        </w:rPr>
        <w:t>Fon portföyü içerisinde yer alan farklı finansal varlıkların piyasa koşulları altında belirli bir zaman dilimi içerisinde aynı zamanda değer kazanması ya da kaybetmesine paralel olarak, en az iki farklı finansal varlığın birbirleri ile olan pozitif veya negatif yönlü ilişkileri nedeniyle doğabilecek zarar olasılığını ifade eder.</w:t>
      </w:r>
    </w:p>
    <w:p w14:paraId="3B85ED7F"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t>Karşı Taraf Riski:</w:t>
      </w:r>
      <w:r w:rsidRPr="00BC4205">
        <w:rPr>
          <w:rFonts w:eastAsia="Tahoma" w:cs="Calibri"/>
          <w:bCs/>
          <w:color w:val="262626" w:themeColor="text1" w:themeTint="D9"/>
          <w:spacing w:val="-1"/>
          <w:position w:val="-1"/>
        </w:rPr>
        <w:t xml:space="preserve"> Fon portföyü içerisine alınan menkul kıymetler üzerinde karşı tarafın, işlemden kaynaklanan yükümlülüklerini yerine getirmek istememesi ve/veya yerine getirememesi veya takas işlemlerinde ortaya çıkan aksaklıklar sonucunda ödemenin yapılamaması riskini ifade eder. Fon’un risk ölçümlerinde organize borsalar haricinde yapılacak olan finansal işlemler (türev işlemler) ile ilgili olarak taşınan pozisyonlarının gün içerisinde karşı taraf bazında piyasaya göre değerlemeleri yapılacaktır. Yapılacak olan portföy değerlemeleri içerisinde ölçümlenen piyasa değerleri karşı taraf bazında kırılarak Fon’un karşı taraf bazındaki limitleri dinamik olarak takip edilebilecektir.</w:t>
      </w:r>
    </w:p>
    <w:p w14:paraId="1BF4EC4B"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lastRenderedPageBreak/>
        <w:t>Teminat Riski:</w:t>
      </w:r>
      <w:r w:rsidRPr="00BC4205">
        <w:rPr>
          <w:rFonts w:eastAsia="Tahoma" w:cs="Calibri"/>
          <w:bCs/>
          <w:color w:val="262626" w:themeColor="text1" w:themeTint="D9"/>
          <w:spacing w:val="-1"/>
          <w:position w:val="-1"/>
        </w:rPr>
        <w:t xml:space="preserve"> Türev araçlar üzerinden alınan bir pozisyonun güvencesi olarak alınan teminatın,  Fon </w:t>
      </w:r>
      <w:proofErr w:type="spellStart"/>
      <w:r w:rsidRPr="00BC4205">
        <w:rPr>
          <w:rFonts w:eastAsia="Tahoma" w:cs="Calibri"/>
          <w:bCs/>
          <w:color w:val="262626" w:themeColor="text1" w:themeTint="D9"/>
          <w:spacing w:val="-1"/>
          <w:position w:val="-1"/>
        </w:rPr>
        <w:t>Kurucusu’nun</w:t>
      </w:r>
      <w:proofErr w:type="spellEnd"/>
      <w:r w:rsidRPr="00BC4205">
        <w:rPr>
          <w:rFonts w:eastAsia="Tahoma" w:cs="Calibri"/>
          <w:bCs/>
          <w:color w:val="262626" w:themeColor="text1" w:themeTint="D9"/>
          <w:spacing w:val="-1"/>
          <w:position w:val="-1"/>
        </w:rPr>
        <w:t xml:space="preserve"> teminatı likidite etmesi halinde piyasaya göre değerleme değerinin beklenen türev pozisyon değerini karşılayamaması veya doğrudan, teminatın niteliği ile ilgili olumsuzlukların bulunması olasılığının ortaya çıkması durumudur.</w:t>
      </w:r>
    </w:p>
    <w:p w14:paraId="1E19B3D8"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t>Likidite Riski:</w:t>
      </w:r>
      <w:r w:rsidRPr="00BC4205">
        <w:rPr>
          <w:rFonts w:eastAsia="Tahoma" w:cs="Calibri"/>
          <w:bCs/>
          <w:color w:val="262626" w:themeColor="text1" w:themeTint="D9"/>
          <w:spacing w:val="-1"/>
          <w:position w:val="-1"/>
        </w:rPr>
        <w:t xml:space="preserve"> Likidite riski, genel olarak Fon’un nakit akışındaki vade uyumsuzluğundan kaynaklanacak dengesizlik sonucunda nakit çıkışlarını tam olarak ve zamanında karşılayacak düzeyde ve nitelikte nakit mevcuduna veya nakit girişine sahip bulunmaması riskidir. Piyasaya ilişkin likidite riski, Fon’un piyasaya gerektiği gibi girememesi, bazı ürünlerdeki sığ piyasa yapısı ve piyasalarda oluşan engeller ve dalgalanmalar nedeniyle pozisyonlarını uygun bir fiyatta, yeterli tutarlarda ve hızlı olarak kapatamaması veya pozisyonlardan çıkamaması durumunda ortaya çıkan zarar ihtimalini ifade eder.</w:t>
      </w:r>
    </w:p>
    <w:p w14:paraId="5B151A97"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t>Opsiyon Risk Duyarlılık Riskleri:</w:t>
      </w:r>
      <w:r w:rsidRPr="00BC4205">
        <w:rPr>
          <w:rFonts w:eastAsia="Tahoma" w:cs="Calibri"/>
          <w:bCs/>
          <w:color w:val="262626" w:themeColor="text1" w:themeTint="D9"/>
          <w:spacing w:val="-1"/>
          <w:position w:val="-1"/>
        </w:rPr>
        <w:t xml:space="preserve"> 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ölçmektedir.   </w:t>
      </w:r>
      <w:proofErr w:type="spellStart"/>
      <w:r w:rsidRPr="00BC4205">
        <w:rPr>
          <w:rFonts w:eastAsia="Tahoma" w:cs="Calibri"/>
          <w:bCs/>
          <w:color w:val="262626" w:themeColor="text1" w:themeTint="D9"/>
          <w:spacing w:val="-1"/>
          <w:position w:val="-1"/>
        </w:rPr>
        <w:t>Vega</w:t>
      </w:r>
      <w:proofErr w:type="spellEnd"/>
      <w:r w:rsidRPr="00BC4205">
        <w:rPr>
          <w:rFonts w:eastAsia="Tahoma" w:cs="Calibri"/>
          <w:bCs/>
          <w:color w:val="262626" w:themeColor="text1" w:themeTint="D9"/>
          <w:spacing w:val="-1"/>
          <w:position w:val="-1"/>
        </w:rPr>
        <w:t xml:space="preserve">; Opsiyonun dayandığı varlığın fiyat dalgalanmalarındaki birim değişimin opsiyon priminde oluşturduğu değişimdir.  </w:t>
      </w:r>
      <w:proofErr w:type="spellStart"/>
      <w:r w:rsidRPr="00BC4205">
        <w:rPr>
          <w:rFonts w:eastAsia="Tahoma" w:cs="Calibri"/>
          <w:bCs/>
          <w:color w:val="262626" w:themeColor="text1" w:themeTint="D9"/>
          <w:spacing w:val="-1"/>
          <w:position w:val="-1"/>
        </w:rPr>
        <w:t>Theta</w:t>
      </w:r>
      <w:proofErr w:type="spellEnd"/>
      <w:r w:rsidRPr="00BC4205">
        <w:rPr>
          <w:rFonts w:eastAsia="Tahoma" w:cs="Calibri"/>
          <w:bCs/>
          <w:color w:val="262626" w:themeColor="text1" w:themeTint="D9"/>
          <w:spacing w:val="-1"/>
          <w:position w:val="-1"/>
        </w:rPr>
        <w:t xml:space="preserve">; Risk ölçümlerinde büyük önem taşıyan zaman faktörünü ifade eden gösterge olup, opsiyon fiyatının vadeye göre değişiminin ölçüsüdür. </w:t>
      </w:r>
      <w:proofErr w:type="spellStart"/>
      <w:r w:rsidRPr="00BC4205">
        <w:rPr>
          <w:rFonts w:eastAsia="Tahoma" w:cs="Calibri"/>
          <w:bCs/>
          <w:color w:val="262626" w:themeColor="text1" w:themeTint="D9"/>
          <w:spacing w:val="-1"/>
          <w:position w:val="-1"/>
        </w:rPr>
        <w:t>Rho</w:t>
      </w:r>
      <w:proofErr w:type="spellEnd"/>
      <w:r w:rsidRPr="00BC4205">
        <w:rPr>
          <w:rFonts w:eastAsia="Tahoma" w:cs="Calibri"/>
          <w:bCs/>
          <w:color w:val="262626" w:themeColor="text1" w:themeTint="D9"/>
          <w:spacing w:val="-1"/>
          <w:position w:val="-1"/>
        </w:rPr>
        <w:t>; Faiz oranlarındaki yüzdesel değişimin opsiyonun fiyatında oluşturduğu değişimin ölçüsüdür.</w:t>
      </w:r>
    </w:p>
    <w:p w14:paraId="53AA0ABD"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t>Operasyonel Risk:</w:t>
      </w:r>
      <w:r w:rsidRPr="00BC4205">
        <w:rPr>
          <w:rFonts w:eastAsia="Tahoma" w:cs="Calibri"/>
          <w:bCs/>
          <w:color w:val="262626" w:themeColor="text1" w:themeTint="D9"/>
          <w:spacing w:val="-1"/>
          <w:position w:val="-1"/>
        </w:rPr>
        <w:t xml:space="preserve"> Fon portföyüne yapılan alım/satım işlemlerinin zamanında, tam ve doğru olarak yapılamaması, etkin olmayan iş akışları veya sıklıkla tekrarlanan hatalar,  ihmaller,  tutarsızlıklar sonucunda zarar oluşması olasılığıdır.  Fon içi kontrollerin, </w:t>
      </w:r>
      <w:proofErr w:type="gramStart"/>
      <w:r w:rsidRPr="00BC4205">
        <w:rPr>
          <w:rFonts w:eastAsia="Tahoma" w:cs="Calibri"/>
          <w:bCs/>
          <w:color w:val="262626" w:themeColor="text1" w:themeTint="D9"/>
          <w:spacing w:val="-1"/>
          <w:position w:val="-1"/>
        </w:rPr>
        <w:t>işbirliği</w:t>
      </w:r>
      <w:proofErr w:type="gramEnd"/>
      <w:r w:rsidRPr="00BC4205">
        <w:rPr>
          <w:rFonts w:eastAsia="Tahoma" w:cs="Calibri"/>
          <w:bCs/>
          <w:color w:val="262626" w:themeColor="text1" w:themeTint="D9"/>
          <w:spacing w:val="-1"/>
          <w:position w:val="-1"/>
        </w:rPr>
        <w:t xml:space="preserve"> içinde olunan kişi ya da ilgili bölümlerin, bilgi sistemlerinin, çalışanlarının yetkinlik ve uyumunun, işlem süreçlerinin niteliğinin yanı sıra doğal afetler, rekabet koşulları, politik rejim değişiklikleri de bu riski belirleyen unsurlardır.</w:t>
      </w:r>
    </w:p>
    <w:p w14:paraId="3D6AE67A"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t>Kaldıraç Riski:</w:t>
      </w:r>
      <w:r w:rsidRPr="00BC4205">
        <w:rPr>
          <w:rFonts w:eastAsia="Tahoma" w:cs="Calibri"/>
          <w:bCs/>
          <w:color w:val="262626" w:themeColor="text1" w:themeTint="D9"/>
          <w:spacing w:val="-1"/>
          <w:position w:val="-1"/>
        </w:rPr>
        <w:t xml:space="preserve"> Fon portföyü içerisine çeşitli borçlanma imkânları yoluyla kaldıraç yaratan uzun ve/veya kısa yönlü menkul kıymet miktarının fon sermayesine olan oranının fon kurucusunun belirlediği maksimum sınırı aşması veya limit içerisinde yüksek borçluluk seviyesinde bulunulması nedeniyle fon sermayesinde olası kayıpların yaşanması durumunu ifade eder.</w:t>
      </w:r>
    </w:p>
    <w:p w14:paraId="4918ACCA" w14:textId="77777777" w:rsidR="00636E11" w:rsidRPr="00BC4205" w:rsidRDefault="00636E11" w:rsidP="00636E11">
      <w:pPr>
        <w:spacing w:after="120" w:line="240" w:lineRule="auto"/>
        <w:jc w:val="both"/>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t>Mevzuat Riski:</w:t>
      </w:r>
      <w:r w:rsidRPr="00BC4205">
        <w:rPr>
          <w:rFonts w:eastAsia="Tahoma" w:cs="Calibri"/>
          <w:bCs/>
          <w:color w:val="262626" w:themeColor="text1" w:themeTint="D9"/>
          <w:spacing w:val="-1"/>
          <w:position w:val="-1"/>
        </w:rPr>
        <w:t xml:space="preserve"> Fon faaliyetlerinin yürütülmesi ile ilgili olarak yeterli, etkili, açık ve anlaşılır politika ve uygulama talimatlarının oluşturulmaması, bunların gereğince duyurulamaması ve özümsenmemesi nedeniyle ortaya çıkan risktir. Planlanmamış veya beklenmedik değişiklikler bu riske yol açabilir. Mevzuat hükümlerine ve yasal yükümlülüklere uyulmaması sonucunda ortaya çıkabilecek zararları ifade eder. Bu risk, yürürlükteki mevzuat hakkında yetersiz veya hatalı bilgi sahibi olunması bunlara gereğince uyulmaması ya da bunların bilinçli şekilde ihlal edilmesinden kaynaklanır. Ürünlerin risklerinin yanlış tahlil edilmesi ya da hatalı pazarlama tekniklerinin kullanılması da bu riske yol açabilir.</w:t>
      </w:r>
    </w:p>
    <w:p w14:paraId="52A98C63" w14:textId="77777777" w:rsidR="00636E11" w:rsidRPr="00BC4205" w:rsidRDefault="00636E11" w:rsidP="00636E11">
      <w:pPr>
        <w:spacing w:after="120" w:line="240" w:lineRule="auto"/>
        <w:rPr>
          <w:rFonts w:eastAsia="Tahoma" w:cs="Calibri"/>
          <w:bCs/>
          <w:color w:val="262626" w:themeColor="text1" w:themeTint="D9"/>
          <w:spacing w:val="-1"/>
          <w:position w:val="-1"/>
        </w:rPr>
      </w:pPr>
      <w:r w:rsidRPr="00BC4205">
        <w:rPr>
          <w:rFonts w:eastAsia="Tahoma" w:cs="Calibri"/>
          <w:b/>
          <w:bCs/>
          <w:color w:val="262626" w:themeColor="text1" w:themeTint="D9"/>
          <w:spacing w:val="-1"/>
          <w:position w:val="-1"/>
        </w:rPr>
        <w:t>Yasal Risk:</w:t>
      </w:r>
      <w:r w:rsidRPr="00BC4205">
        <w:rPr>
          <w:rFonts w:eastAsia="Tahoma" w:cs="Calibri"/>
          <w:bCs/>
          <w:color w:val="262626" w:themeColor="text1" w:themeTint="D9"/>
          <w:spacing w:val="-1"/>
          <w:position w:val="-1"/>
        </w:rPr>
        <w:t xml:space="preserve"> Fonun katılma paylarının satıldığı dönemden sonra mevzuatta ve düzenleyici otoritelerin düzenlemelerinde meydana gelebilecek değişiklerden olumsuz etkilenmesi riskidir.</w:t>
      </w:r>
    </w:p>
    <w:p w14:paraId="4D7B84FC" w14:textId="77777777" w:rsidR="00636E11" w:rsidRPr="00BC4205" w:rsidRDefault="00636E11" w:rsidP="00636E11">
      <w:pPr>
        <w:spacing w:after="120" w:line="240" w:lineRule="auto"/>
        <w:jc w:val="both"/>
        <w:rPr>
          <w:rFonts w:cs="Calibri"/>
          <w:color w:val="262626" w:themeColor="text1" w:themeTint="D9"/>
        </w:rPr>
      </w:pPr>
      <w:r w:rsidRPr="00BC4205">
        <w:rPr>
          <w:rFonts w:cs="Calibri"/>
          <w:color w:val="262626" w:themeColor="text1" w:themeTint="D9"/>
        </w:rPr>
        <w:t xml:space="preserve">Fonun maruz kaldığı risklerle ilgili uygun açıklamaları ve uyarıları içeren risk ve getiri profiline Kamuyu Aydınlatma Platformu internet sitesindeki </w:t>
      </w:r>
      <w:r w:rsidRPr="00BC4205">
        <w:rPr>
          <w:rFonts w:cs="Calibri"/>
          <w:color w:val="000000"/>
        </w:rPr>
        <w:t>(</w:t>
      </w:r>
      <w:hyperlink r:id="rId16" w:history="1">
        <w:r w:rsidRPr="00BC4205">
          <w:rPr>
            <w:rStyle w:val="Kpr"/>
            <w:rFonts w:cs="Calibri"/>
          </w:rPr>
          <w:t>http://www.kap.gov.tr/yatirim-fonlari/faal-yatirim-fonlari.aspx</w:t>
        </w:r>
      </w:hyperlink>
      <w:r w:rsidRPr="00BC4205">
        <w:rPr>
          <w:rStyle w:val="Kpr"/>
          <w:rFonts w:cs="Calibri"/>
        </w:rPr>
        <w:t>)</w:t>
      </w:r>
      <w:r w:rsidRPr="00BC4205">
        <w:rPr>
          <w:rFonts w:cs="Calibri"/>
          <w:color w:val="000000"/>
        </w:rPr>
        <w:t xml:space="preserve"> </w:t>
      </w:r>
      <w:r w:rsidRPr="00BC4205">
        <w:rPr>
          <w:rFonts w:cs="Calibri"/>
          <w:color w:val="262626" w:themeColor="text1" w:themeTint="D9"/>
        </w:rPr>
        <w:t>Yatırımcı Bilgi Formlarından, yatırım yaptığınız fonun performansını ve getiri bilgisini fonların sürekli bilgilendirme formlarından takip edebilirsiniz.</w:t>
      </w:r>
    </w:p>
    <w:p w14:paraId="16A99B47" w14:textId="77777777" w:rsidR="00636E11" w:rsidRPr="00BC4205" w:rsidRDefault="00636E11" w:rsidP="00636E11">
      <w:pPr>
        <w:spacing w:after="0"/>
        <w:jc w:val="both"/>
        <w:rPr>
          <w:rFonts w:eastAsia="Tahoma" w:cs="Calibri"/>
          <w:b/>
          <w:bCs/>
          <w:color w:val="262626" w:themeColor="text1" w:themeTint="D9"/>
          <w:spacing w:val="-1"/>
          <w:position w:val="-1"/>
        </w:rPr>
      </w:pPr>
      <w:r w:rsidRPr="00BC4205">
        <w:rPr>
          <w:rFonts w:eastAsia="Tahoma" w:cs="Calibri"/>
          <w:b/>
          <w:bCs/>
          <w:color w:val="262626" w:themeColor="text1" w:themeTint="D9"/>
          <w:spacing w:val="-1"/>
          <w:position w:val="-1"/>
        </w:rPr>
        <w:t>İşbu Serbest Fonlara İlişkin Risk Bildirim Formu, yatırımcıyı genel olarak mevcut riskler hakkında bilgilendirmeyi amaçlamakta olup, serbest fonların alım-satımından ve uygulamadan kaynaklanabilecek tüm riskleri kapsamayabilir. Dolayısıyla tasarruflarınızı bu tip yatırımlara yönlendirmeden önce dikkatli bir şeklide araştırma yapmalısınız.</w:t>
      </w:r>
    </w:p>
    <w:p w14:paraId="03B6C392" w14:textId="77777777" w:rsidR="00636E11" w:rsidRPr="00776A7F" w:rsidRDefault="00636E11" w:rsidP="00A714ED">
      <w:pPr>
        <w:pStyle w:val="Balk1"/>
        <w:contextualSpacing/>
        <w:jc w:val="center"/>
        <w:rPr>
          <w:rFonts w:ascii="Calibri" w:hAnsi="Calibri" w:cs="Calibri"/>
          <w:b/>
          <w:bCs/>
          <w:caps/>
          <w:color w:val="auto"/>
          <w:sz w:val="24"/>
          <w:szCs w:val="24"/>
        </w:rPr>
      </w:pPr>
      <w:bookmarkStart w:id="17" w:name="_GAYRİMENKUL_SERTİFİKALARINA_İLİŞKİN"/>
      <w:bookmarkEnd w:id="17"/>
      <w:r w:rsidRPr="00776A7F">
        <w:rPr>
          <w:rFonts w:ascii="Calibri" w:hAnsi="Calibri" w:cs="Calibri"/>
          <w:b/>
          <w:bCs/>
          <w:caps/>
          <w:color w:val="auto"/>
          <w:sz w:val="24"/>
          <w:szCs w:val="24"/>
        </w:rPr>
        <w:lastRenderedPageBreak/>
        <w:t>GAYRİMENKUL SERTİFİKALARINA İLİŞKİN RİSK BİLDİRİM FORMU</w:t>
      </w:r>
    </w:p>
    <w:p w14:paraId="1579642D"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 xml:space="preserve">Önemli Açıklama </w:t>
      </w:r>
    </w:p>
    <w:p w14:paraId="6D04C54C" w14:textId="77777777" w:rsidR="00636E11" w:rsidRPr="00BC4205" w:rsidRDefault="00636E11" w:rsidP="00636E11">
      <w:pPr>
        <w:spacing w:before="120" w:after="0" w:line="240" w:lineRule="auto"/>
        <w:jc w:val="both"/>
        <w:rPr>
          <w:rFonts w:cs="Calibri"/>
          <w:color w:val="262626" w:themeColor="text1" w:themeTint="D9"/>
        </w:rPr>
      </w:pPr>
      <w:r w:rsidRPr="00BC4205">
        <w:rPr>
          <w:rFonts w:cs="Calibri"/>
          <w:color w:val="262626" w:themeColor="text1" w:themeTint="D9"/>
        </w:rPr>
        <w:t xml:space="preserve">Sermaye piyasasında gerçekleştireceğiniz Gayrimenkul Sertifikası alım satım işlemleri sonucunda kâr edebileceğiniz gibi zarar riskiniz de bulunmaktadır. Bu nedenle, işlem yapmaya karar vermeden önce, piyasada karşılaşabileceğiniz riskleri anlamanız, mali durumunuzu ve kısıtlarınızı dikkate alarak karar vermeniz gerekmektedir. </w:t>
      </w:r>
    </w:p>
    <w:p w14:paraId="6B11E23A" w14:textId="77777777" w:rsidR="00636E11" w:rsidRPr="00BC4205" w:rsidRDefault="00636E11" w:rsidP="00636E11">
      <w:pPr>
        <w:spacing w:before="120" w:after="0" w:line="240" w:lineRule="auto"/>
        <w:jc w:val="both"/>
        <w:rPr>
          <w:rFonts w:cs="Calibri"/>
          <w:color w:val="262626" w:themeColor="text1" w:themeTint="D9"/>
        </w:rPr>
      </w:pPr>
      <w:r w:rsidRPr="00BC4205">
        <w:rPr>
          <w:rFonts w:cs="Calibri"/>
          <w:color w:val="262626" w:themeColor="text1" w:themeTint="D9"/>
        </w:rPr>
        <w:t xml:space="preserve">Bu amaçla, III-39.1 sayılı “Yatırım Kuruluşlarının Kuruluş ve Faaliyet Esasları Hakkında </w:t>
      </w:r>
      <w:proofErr w:type="spellStart"/>
      <w:r w:rsidRPr="00BC4205">
        <w:rPr>
          <w:rFonts w:cs="Calibri"/>
          <w:color w:val="262626" w:themeColor="text1" w:themeTint="D9"/>
        </w:rPr>
        <w:t>Tebliğ”in</w:t>
      </w:r>
      <w:proofErr w:type="spellEnd"/>
      <w:r w:rsidRPr="00BC4205">
        <w:rPr>
          <w:rFonts w:cs="Calibri"/>
          <w:color w:val="262626" w:themeColor="text1" w:themeTint="D9"/>
        </w:rPr>
        <w:t xml:space="preserve"> (Tebliğ) 25 inci maddesi uyarınca işbu “Gayrimenkul Sertifikalarına İlişkin Risk Bildirim </w:t>
      </w:r>
      <w:proofErr w:type="spellStart"/>
      <w:r w:rsidRPr="00BC4205">
        <w:rPr>
          <w:rFonts w:cs="Calibri"/>
          <w:color w:val="262626" w:themeColor="text1" w:themeTint="D9"/>
        </w:rPr>
        <w:t>Formu”nu</w:t>
      </w:r>
      <w:proofErr w:type="spellEnd"/>
      <w:r w:rsidRPr="00BC4205">
        <w:rPr>
          <w:rFonts w:cs="Calibri"/>
          <w:color w:val="262626" w:themeColor="text1" w:themeTint="D9"/>
        </w:rPr>
        <w:t xml:space="preserve"> okuyarak anlamanız gerekmektedir. </w:t>
      </w:r>
    </w:p>
    <w:p w14:paraId="2820C162"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Genel Bilgİ</w:t>
      </w:r>
    </w:p>
    <w:p w14:paraId="0BA79F40"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Gayrimenkul Sertifikası; inşa edilecek veya edilmekte olan bir projenin finansmanında kullanılmak üzere ihraç edilen menkul kıymetlerdir. Gayrimenkul Sertifikalarının ilk halka arzı Borsada yapılabilir. Bu durumda yürürlükte olan Borsa halka arz esasları uygulanır. Borsada işlem görmesi uygun görülen gayrimenkul sertifikaları Pay Piyasası bünyesinde sürekli işlem yöntemi (seansın açılış, gün ortası ve kapanış bölümlerine dahil edilir) ile işlem görür. Gayrimenkul sertifikasının işlem birimi lottur. 1 lotun karşılığı olan sertifika sayısı ve/veya tutarı izahnamede yer alan bilgiler dikkate alınarak Pay Piyasası Bölümü tarafından belirlenir ve ilan edilir. Sertifikaların halka arz fiyatı Borsa’da ilk işlem gününde baz fiyat olarak alınır. Sonraki günlerde baz fiyat paylarda geçerli yöntem ile belirlenir. Sertifikalarda fiyat marjı %20 olarak uygulanır. Paylarda uygulanan fiyat seviyeleri ve fiyat adımları gayrimenkul sertifikaları için de geçerlidir. </w:t>
      </w:r>
    </w:p>
    <w:p w14:paraId="38951B24" w14:textId="77777777" w:rsidR="00636E11" w:rsidRPr="00BC4205" w:rsidRDefault="00636E11" w:rsidP="00636E11">
      <w:pPr>
        <w:shd w:val="clear" w:color="auto" w:fill="FFFFFF"/>
        <w:spacing w:before="120" w:after="0" w:line="240" w:lineRule="auto"/>
        <w:jc w:val="both"/>
        <w:rPr>
          <w:rFonts w:cs="Calibri"/>
          <w:b/>
          <w:caps/>
          <w:color w:val="262626" w:themeColor="text1" w:themeTint="D9"/>
          <w:u w:val="single"/>
        </w:rPr>
      </w:pPr>
      <w:r w:rsidRPr="00BC4205">
        <w:rPr>
          <w:rFonts w:cs="Calibri"/>
          <w:b/>
          <w:caps/>
          <w:color w:val="262626" w:themeColor="text1" w:themeTint="D9"/>
          <w:u w:val="single"/>
        </w:rPr>
        <w:t>Sertifikalarda Geçerli Fiyat Adımları</w:t>
      </w:r>
    </w:p>
    <w:tbl>
      <w:tblPr>
        <w:tblStyle w:val="TabloKlavuzu"/>
        <w:tblW w:w="0" w:type="auto"/>
        <w:tblLook w:val="04A0" w:firstRow="1" w:lastRow="0" w:firstColumn="1" w:lastColumn="0" w:noHBand="0" w:noVBand="1"/>
      </w:tblPr>
      <w:tblGrid>
        <w:gridCol w:w="1980"/>
        <w:gridCol w:w="1843"/>
      </w:tblGrid>
      <w:tr w:rsidR="00636E11" w:rsidRPr="00BC4205" w14:paraId="3A79E487" w14:textId="77777777" w:rsidTr="00F127D0">
        <w:tc>
          <w:tcPr>
            <w:tcW w:w="1980" w:type="dxa"/>
          </w:tcPr>
          <w:p w14:paraId="4B3EF318" w14:textId="77777777" w:rsidR="00636E11" w:rsidRPr="00BC4205" w:rsidRDefault="00636E11" w:rsidP="00F127D0">
            <w:pPr>
              <w:spacing w:before="60" w:after="0" w:line="240" w:lineRule="auto"/>
              <w:ind w:right="51"/>
              <w:jc w:val="center"/>
              <w:rPr>
                <w:rFonts w:cs="Calibri"/>
                <w:b/>
                <w:color w:val="262626" w:themeColor="text1" w:themeTint="D9"/>
                <w:sz w:val="22"/>
                <w:szCs w:val="22"/>
              </w:rPr>
            </w:pPr>
            <w:r w:rsidRPr="00BC4205">
              <w:rPr>
                <w:rFonts w:cs="Calibri"/>
                <w:b/>
                <w:color w:val="262626" w:themeColor="text1" w:themeTint="D9"/>
                <w:sz w:val="22"/>
                <w:szCs w:val="22"/>
              </w:rPr>
              <w:t>Fiyat Seviyesi (TL)</w:t>
            </w:r>
          </w:p>
        </w:tc>
        <w:tc>
          <w:tcPr>
            <w:tcW w:w="1843" w:type="dxa"/>
          </w:tcPr>
          <w:p w14:paraId="4900B057" w14:textId="77777777" w:rsidR="00636E11" w:rsidRPr="00BC4205" w:rsidRDefault="00636E11" w:rsidP="00F127D0">
            <w:pPr>
              <w:spacing w:before="60" w:after="0" w:line="240" w:lineRule="auto"/>
              <w:ind w:right="51"/>
              <w:jc w:val="center"/>
              <w:rPr>
                <w:rFonts w:cs="Calibri"/>
                <w:b/>
                <w:color w:val="262626" w:themeColor="text1" w:themeTint="D9"/>
                <w:sz w:val="22"/>
                <w:szCs w:val="22"/>
              </w:rPr>
            </w:pPr>
            <w:r w:rsidRPr="00BC4205">
              <w:rPr>
                <w:rFonts w:cs="Calibri"/>
                <w:b/>
                <w:color w:val="262626" w:themeColor="text1" w:themeTint="D9"/>
                <w:sz w:val="22"/>
                <w:szCs w:val="22"/>
              </w:rPr>
              <w:t>Fiyat Adımı (TL)</w:t>
            </w:r>
          </w:p>
        </w:tc>
      </w:tr>
      <w:tr w:rsidR="00636E11" w:rsidRPr="00BC4205" w14:paraId="36ACDB22" w14:textId="77777777" w:rsidTr="00F127D0">
        <w:tc>
          <w:tcPr>
            <w:tcW w:w="1980" w:type="dxa"/>
          </w:tcPr>
          <w:p w14:paraId="7140F099" w14:textId="77777777" w:rsidR="00636E11" w:rsidRPr="00BC4205" w:rsidRDefault="00636E11" w:rsidP="00F127D0">
            <w:pPr>
              <w:spacing w:before="60" w:after="0" w:line="240" w:lineRule="auto"/>
              <w:ind w:right="51"/>
              <w:jc w:val="center"/>
              <w:rPr>
                <w:rFonts w:cs="Calibri"/>
                <w:color w:val="262626" w:themeColor="text1" w:themeTint="D9"/>
                <w:sz w:val="22"/>
                <w:szCs w:val="22"/>
              </w:rPr>
            </w:pPr>
            <w:r w:rsidRPr="00BC4205">
              <w:rPr>
                <w:rFonts w:cs="Calibri"/>
                <w:color w:val="262626" w:themeColor="text1" w:themeTint="D9"/>
                <w:sz w:val="22"/>
                <w:szCs w:val="22"/>
              </w:rPr>
              <w:t>0,01 - 19,99</w:t>
            </w:r>
          </w:p>
        </w:tc>
        <w:tc>
          <w:tcPr>
            <w:tcW w:w="1843" w:type="dxa"/>
          </w:tcPr>
          <w:p w14:paraId="635B0A73" w14:textId="77777777" w:rsidR="00636E11" w:rsidRPr="00BC4205" w:rsidRDefault="00636E11" w:rsidP="00F127D0">
            <w:pPr>
              <w:spacing w:before="60" w:after="0" w:line="240" w:lineRule="auto"/>
              <w:ind w:right="51"/>
              <w:jc w:val="center"/>
              <w:rPr>
                <w:rFonts w:cs="Calibri"/>
                <w:color w:val="262626" w:themeColor="text1" w:themeTint="D9"/>
                <w:sz w:val="22"/>
                <w:szCs w:val="22"/>
              </w:rPr>
            </w:pPr>
            <w:r w:rsidRPr="00BC4205">
              <w:rPr>
                <w:rFonts w:cs="Calibri"/>
                <w:color w:val="262626" w:themeColor="text1" w:themeTint="D9"/>
                <w:sz w:val="22"/>
                <w:szCs w:val="22"/>
              </w:rPr>
              <w:t>0,01</w:t>
            </w:r>
          </w:p>
        </w:tc>
      </w:tr>
      <w:tr w:rsidR="00636E11" w:rsidRPr="00BC4205" w14:paraId="3186C1CC" w14:textId="77777777" w:rsidTr="00F127D0">
        <w:tc>
          <w:tcPr>
            <w:tcW w:w="1980" w:type="dxa"/>
          </w:tcPr>
          <w:p w14:paraId="205F7CC6" w14:textId="77777777" w:rsidR="00636E11" w:rsidRPr="00BC4205" w:rsidRDefault="00636E11" w:rsidP="00F127D0">
            <w:pPr>
              <w:spacing w:before="60" w:after="0" w:line="240" w:lineRule="auto"/>
              <w:ind w:right="51"/>
              <w:jc w:val="center"/>
              <w:rPr>
                <w:rFonts w:cs="Calibri"/>
                <w:color w:val="262626" w:themeColor="text1" w:themeTint="D9"/>
                <w:sz w:val="22"/>
                <w:szCs w:val="22"/>
              </w:rPr>
            </w:pPr>
            <w:r w:rsidRPr="00BC4205">
              <w:rPr>
                <w:rFonts w:cs="Calibri"/>
                <w:color w:val="262626" w:themeColor="text1" w:themeTint="D9"/>
                <w:sz w:val="22"/>
                <w:szCs w:val="22"/>
              </w:rPr>
              <w:t>20,00 - 49,98</w:t>
            </w:r>
          </w:p>
        </w:tc>
        <w:tc>
          <w:tcPr>
            <w:tcW w:w="1843" w:type="dxa"/>
          </w:tcPr>
          <w:p w14:paraId="0A426E1B" w14:textId="77777777" w:rsidR="00636E11" w:rsidRPr="00BC4205" w:rsidRDefault="00636E11" w:rsidP="00F127D0">
            <w:pPr>
              <w:spacing w:before="60" w:after="0" w:line="240" w:lineRule="auto"/>
              <w:ind w:right="51"/>
              <w:jc w:val="center"/>
              <w:rPr>
                <w:rFonts w:cs="Calibri"/>
                <w:color w:val="262626" w:themeColor="text1" w:themeTint="D9"/>
                <w:sz w:val="22"/>
                <w:szCs w:val="22"/>
              </w:rPr>
            </w:pPr>
            <w:r w:rsidRPr="00BC4205">
              <w:rPr>
                <w:rFonts w:cs="Calibri"/>
                <w:color w:val="262626" w:themeColor="text1" w:themeTint="D9"/>
                <w:sz w:val="22"/>
                <w:szCs w:val="22"/>
              </w:rPr>
              <w:t>0,02</w:t>
            </w:r>
          </w:p>
        </w:tc>
      </w:tr>
      <w:tr w:rsidR="00636E11" w:rsidRPr="00BC4205" w14:paraId="09631FE4" w14:textId="77777777" w:rsidTr="00F127D0">
        <w:tc>
          <w:tcPr>
            <w:tcW w:w="1980" w:type="dxa"/>
          </w:tcPr>
          <w:p w14:paraId="19C58D99" w14:textId="77777777" w:rsidR="00636E11" w:rsidRPr="00BC4205" w:rsidRDefault="00636E11" w:rsidP="00F127D0">
            <w:pPr>
              <w:spacing w:before="60" w:after="0" w:line="240" w:lineRule="auto"/>
              <w:ind w:right="51"/>
              <w:jc w:val="center"/>
              <w:rPr>
                <w:rFonts w:cs="Calibri"/>
                <w:color w:val="262626" w:themeColor="text1" w:themeTint="D9"/>
                <w:sz w:val="22"/>
                <w:szCs w:val="22"/>
              </w:rPr>
            </w:pPr>
            <w:r w:rsidRPr="00BC4205">
              <w:rPr>
                <w:rFonts w:cs="Calibri"/>
                <w:color w:val="262626" w:themeColor="text1" w:themeTint="D9"/>
                <w:sz w:val="22"/>
                <w:szCs w:val="22"/>
              </w:rPr>
              <w:t>50,00 - 99,95</w:t>
            </w:r>
          </w:p>
        </w:tc>
        <w:tc>
          <w:tcPr>
            <w:tcW w:w="1843" w:type="dxa"/>
          </w:tcPr>
          <w:p w14:paraId="4AD5DBEE" w14:textId="77777777" w:rsidR="00636E11" w:rsidRPr="00BC4205" w:rsidRDefault="00636E11" w:rsidP="00F127D0">
            <w:pPr>
              <w:spacing w:before="60" w:after="0" w:line="240" w:lineRule="auto"/>
              <w:ind w:right="51"/>
              <w:jc w:val="center"/>
              <w:rPr>
                <w:rFonts w:cs="Calibri"/>
                <w:color w:val="262626" w:themeColor="text1" w:themeTint="D9"/>
                <w:sz w:val="22"/>
                <w:szCs w:val="22"/>
              </w:rPr>
            </w:pPr>
            <w:r w:rsidRPr="00BC4205">
              <w:rPr>
                <w:rFonts w:cs="Calibri"/>
                <w:color w:val="262626" w:themeColor="text1" w:themeTint="D9"/>
                <w:sz w:val="22"/>
                <w:szCs w:val="22"/>
              </w:rPr>
              <w:t>0,05</w:t>
            </w:r>
          </w:p>
        </w:tc>
      </w:tr>
      <w:tr w:rsidR="00636E11" w:rsidRPr="00BC4205" w14:paraId="1ABC662C" w14:textId="77777777" w:rsidTr="00F127D0">
        <w:tc>
          <w:tcPr>
            <w:tcW w:w="1980" w:type="dxa"/>
          </w:tcPr>
          <w:p w14:paraId="3ACB2CEB" w14:textId="77777777" w:rsidR="00636E11" w:rsidRPr="00BC4205" w:rsidRDefault="00636E11" w:rsidP="00F127D0">
            <w:pPr>
              <w:spacing w:before="60" w:after="0" w:line="240" w:lineRule="auto"/>
              <w:ind w:right="51"/>
              <w:jc w:val="center"/>
              <w:rPr>
                <w:rFonts w:cs="Calibri"/>
                <w:color w:val="262626" w:themeColor="text1" w:themeTint="D9"/>
                <w:sz w:val="22"/>
                <w:szCs w:val="22"/>
              </w:rPr>
            </w:pPr>
            <w:r w:rsidRPr="00BC4205">
              <w:rPr>
                <w:rFonts w:cs="Calibri"/>
                <w:color w:val="262626" w:themeColor="text1" w:themeTint="D9"/>
                <w:sz w:val="22"/>
                <w:szCs w:val="22"/>
              </w:rPr>
              <w:t>10,00 - üzeri</w:t>
            </w:r>
          </w:p>
        </w:tc>
        <w:tc>
          <w:tcPr>
            <w:tcW w:w="1843" w:type="dxa"/>
          </w:tcPr>
          <w:p w14:paraId="1F870AF7" w14:textId="77777777" w:rsidR="00636E11" w:rsidRPr="00BC4205" w:rsidRDefault="00636E11" w:rsidP="00F127D0">
            <w:pPr>
              <w:spacing w:before="60" w:after="0" w:line="240" w:lineRule="auto"/>
              <w:ind w:right="51"/>
              <w:jc w:val="center"/>
              <w:rPr>
                <w:rFonts w:cs="Calibri"/>
                <w:color w:val="262626" w:themeColor="text1" w:themeTint="D9"/>
                <w:sz w:val="22"/>
                <w:szCs w:val="22"/>
              </w:rPr>
            </w:pPr>
            <w:r w:rsidRPr="00BC4205">
              <w:rPr>
                <w:rFonts w:cs="Calibri"/>
                <w:color w:val="262626" w:themeColor="text1" w:themeTint="D9"/>
                <w:sz w:val="22"/>
                <w:szCs w:val="22"/>
              </w:rPr>
              <w:t>0,10</w:t>
            </w:r>
          </w:p>
        </w:tc>
      </w:tr>
    </w:tbl>
    <w:p w14:paraId="48A8618D"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b/>
          <w:color w:val="262626" w:themeColor="text1" w:themeTint="D9"/>
        </w:rPr>
        <w:t>İşlem Kodu:</w:t>
      </w:r>
      <w:r w:rsidRPr="00BC4205">
        <w:rPr>
          <w:rFonts w:cs="Calibri"/>
          <w:color w:val="262626" w:themeColor="text1" w:themeTint="D9"/>
        </w:rPr>
        <w:t xml:space="preserve"> Her bir ihraç için ihraççı ve proje bilgileri dikkate alınarak 5 karakterli kısa kod verilir. </w:t>
      </w:r>
    </w:p>
    <w:p w14:paraId="7EB34791" w14:textId="77777777" w:rsidR="00636E11" w:rsidRPr="00BC4205" w:rsidRDefault="00636E11" w:rsidP="00636E11">
      <w:pPr>
        <w:spacing w:before="120" w:after="0" w:line="240" w:lineRule="auto"/>
        <w:ind w:right="50"/>
        <w:rPr>
          <w:rFonts w:cs="Calibri"/>
          <w:noProof/>
          <w:color w:val="262626" w:themeColor="text1" w:themeTint="D9"/>
        </w:rPr>
      </w:pPr>
      <w:r w:rsidRPr="00BC4205">
        <w:rPr>
          <w:rFonts w:cs="Calibri"/>
          <w:b/>
          <w:color w:val="262626" w:themeColor="text1" w:themeTint="D9"/>
        </w:rPr>
        <w:t>Özellik Kodu:</w:t>
      </w:r>
      <w:r w:rsidRPr="00BC4205">
        <w:rPr>
          <w:rFonts w:cs="Calibri"/>
          <w:color w:val="262626" w:themeColor="text1" w:themeTint="D9"/>
        </w:rPr>
        <w:t xml:space="preserve"> Gayrimenkul Sertifikalan İçin Kullanılacak Özellik Kodları aşağıda belirtilmiştir:</w:t>
      </w:r>
      <w:r w:rsidRPr="00BC4205">
        <w:rPr>
          <w:rFonts w:cs="Calibri"/>
          <w:noProof/>
          <w:color w:val="262626" w:themeColor="text1" w:themeTint="D9"/>
        </w:rPr>
        <w:t xml:space="preserve"> </w:t>
      </w:r>
    </w:p>
    <w:p w14:paraId="3ECD94B7" w14:textId="77777777" w:rsidR="00636E11" w:rsidRPr="00BC4205" w:rsidRDefault="00636E11" w:rsidP="00636E11">
      <w:pPr>
        <w:spacing w:after="0" w:line="240" w:lineRule="auto"/>
        <w:ind w:right="51"/>
        <w:rPr>
          <w:rFonts w:cs="Calibri"/>
          <w:noProof/>
          <w:color w:val="262626" w:themeColor="text1" w:themeTint="D9"/>
        </w:rPr>
      </w:pPr>
    </w:p>
    <w:tbl>
      <w:tblPr>
        <w:tblStyle w:val="TabloKlavuzu"/>
        <w:tblW w:w="0" w:type="auto"/>
        <w:tblLook w:val="04A0" w:firstRow="1" w:lastRow="0" w:firstColumn="1" w:lastColumn="0" w:noHBand="0" w:noVBand="1"/>
      </w:tblPr>
      <w:tblGrid>
        <w:gridCol w:w="1404"/>
        <w:gridCol w:w="7658"/>
      </w:tblGrid>
      <w:tr w:rsidR="00636E11" w:rsidRPr="00BC4205" w14:paraId="0088130A" w14:textId="77777777" w:rsidTr="00F127D0">
        <w:trPr>
          <w:trHeight w:val="54"/>
        </w:trPr>
        <w:tc>
          <w:tcPr>
            <w:tcW w:w="1413" w:type="dxa"/>
          </w:tcPr>
          <w:p w14:paraId="6FCF00E0" w14:textId="77777777" w:rsidR="00636E11" w:rsidRPr="00BC4205" w:rsidRDefault="00636E11" w:rsidP="00F127D0">
            <w:pPr>
              <w:spacing w:before="60" w:after="0" w:line="240" w:lineRule="auto"/>
              <w:ind w:right="51"/>
              <w:rPr>
                <w:rFonts w:cs="Calibri"/>
                <w:b/>
                <w:noProof/>
                <w:color w:val="262626" w:themeColor="text1" w:themeTint="D9"/>
                <w:sz w:val="22"/>
                <w:szCs w:val="22"/>
              </w:rPr>
            </w:pPr>
            <w:r w:rsidRPr="00BC4205">
              <w:rPr>
                <w:rFonts w:cs="Calibri"/>
                <w:b/>
                <w:noProof/>
                <w:color w:val="262626" w:themeColor="text1" w:themeTint="D9"/>
                <w:sz w:val="22"/>
                <w:szCs w:val="22"/>
              </w:rPr>
              <w:t>Özellik Kodu</w:t>
            </w:r>
          </w:p>
        </w:tc>
        <w:tc>
          <w:tcPr>
            <w:tcW w:w="7761" w:type="dxa"/>
          </w:tcPr>
          <w:p w14:paraId="73618DC1" w14:textId="77777777" w:rsidR="00636E11" w:rsidRPr="00BC4205" w:rsidRDefault="00636E11" w:rsidP="00F127D0">
            <w:pPr>
              <w:spacing w:before="60" w:after="0" w:line="240" w:lineRule="auto"/>
              <w:ind w:right="51"/>
              <w:rPr>
                <w:rFonts w:cs="Calibri"/>
                <w:b/>
                <w:noProof/>
                <w:color w:val="262626" w:themeColor="text1" w:themeTint="D9"/>
                <w:sz w:val="22"/>
                <w:szCs w:val="22"/>
              </w:rPr>
            </w:pPr>
            <w:r w:rsidRPr="00BC4205">
              <w:rPr>
                <w:rFonts w:cs="Calibri"/>
                <w:b/>
                <w:noProof/>
                <w:color w:val="262626" w:themeColor="text1" w:themeTint="D9"/>
                <w:sz w:val="22"/>
                <w:szCs w:val="22"/>
              </w:rPr>
              <w:t>Açıklama</w:t>
            </w:r>
          </w:p>
        </w:tc>
      </w:tr>
      <w:tr w:rsidR="00636E11" w:rsidRPr="00BC4205" w14:paraId="0D4A4224" w14:textId="77777777" w:rsidTr="00F127D0">
        <w:tc>
          <w:tcPr>
            <w:tcW w:w="1413" w:type="dxa"/>
          </w:tcPr>
          <w:p w14:paraId="7F4F05B9" w14:textId="77777777" w:rsidR="00636E11" w:rsidRPr="00BC4205" w:rsidRDefault="00636E11" w:rsidP="00F127D0">
            <w:pPr>
              <w:spacing w:before="60" w:after="0" w:line="240" w:lineRule="auto"/>
              <w:ind w:right="51"/>
              <w:rPr>
                <w:rFonts w:cs="Calibri"/>
                <w:noProof/>
                <w:color w:val="262626" w:themeColor="text1" w:themeTint="D9"/>
                <w:sz w:val="22"/>
                <w:szCs w:val="22"/>
              </w:rPr>
            </w:pPr>
            <w:r w:rsidRPr="00BC4205">
              <w:rPr>
                <w:rFonts w:cs="Calibri"/>
                <w:noProof/>
                <w:color w:val="262626" w:themeColor="text1" w:themeTint="D9"/>
                <w:sz w:val="22"/>
                <w:szCs w:val="22"/>
              </w:rPr>
              <w:t>.G</w:t>
            </w:r>
          </w:p>
        </w:tc>
        <w:tc>
          <w:tcPr>
            <w:tcW w:w="7761" w:type="dxa"/>
          </w:tcPr>
          <w:p w14:paraId="159B9906" w14:textId="77777777" w:rsidR="00636E11" w:rsidRPr="00BC4205" w:rsidRDefault="00636E11" w:rsidP="00F127D0">
            <w:pPr>
              <w:spacing w:before="60" w:after="0" w:line="240" w:lineRule="auto"/>
              <w:ind w:right="51"/>
              <w:rPr>
                <w:rFonts w:cs="Calibri"/>
                <w:noProof/>
                <w:color w:val="262626" w:themeColor="text1" w:themeTint="D9"/>
                <w:sz w:val="22"/>
                <w:szCs w:val="22"/>
              </w:rPr>
            </w:pPr>
            <w:r w:rsidRPr="00BC4205">
              <w:rPr>
                <w:rFonts w:cs="Calibri"/>
                <w:noProof/>
                <w:color w:val="262626" w:themeColor="text1" w:themeTint="D9"/>
                <w:sz w:val="22"/>
                <w:szCs w:val="22"/>
              </w:rPr>
              <w:t>Gayrimenkul Sertifikası</w:t>
            </w:r>
          </w:p>
        </w:tc>
      </w:tr>
      <w:tr w:rsidR="00636E11" w:rsidRPr="00BC4205" w14:paraId="3B0CD9AD" w14:textId="77777777" w:rsidTr="00F127D0">
        <w:tc>
          <w:tcPr>
            <w:tcW w:w="1413" w:type="dxa"/>
          </w:tcPr>
          <w:p w14:paraId="74D81313" w14:textId="77777777" w:rsidR="00636E11" w:rsidRPr="00BC4205" w:rsidRDefault="00636E11" w:rsidP="00F127D0">
            <w:pPr>
              <w:spacing w:before="60" w:after="0" w:line="240" w:lineRule="auto"/>
              <w:ind w:right="51"/>
              <w:rPr>
                <w:rFonts w:cs="Calibri"/>
                <w:noProof/>
                <w:color w:val="262626" w:themeColor="text1" w:themeTint="D9"/>
                <w:sz w:val="22"/>
                <w:szCs w:val="22"/>
              </w:rPr>
            </w:pPr>
            <w:r w:rsidRPr="00BC4205">
              <w:rPr>
                <w:rFonts w:cs="Calibri"/>
                <w:noProof/>
                <w:color w:val="262626" w:themeColor="text1" w:themeTint="D9"/>
                <w:sz w:val="22"/>
                <w:szCs w:val="22"/>
              </w:rPr>
              <w:t>.HG</w:t>
            </w:r>
          </w:p>
        </w:tc>
        <w:tc>
          <w:tcPr>
            <w:tcW w:w="7761" w:type="dxa"/>
          </w:tcPr>
          <w:p w14:paraId="2060C25B" w14:textId="77777777" w:rsidR="00636E11" w:rsidRPr="00BC4205" w:rsidRDefault="00636E11" w:rsidP="00F127D0">
            <w:pPr>
              <w:spacing w:before="60" w:after="0" w:line="240" w:lineRule="auto"/>
              <w:ind w:right="51"/>
              <w:rPr>
                <w:rFonts w:cs="Calibri"/>
                <w:noProof/>
                <w:color w:val="262626" w:themeColor="text1" w:themeTint="D9"/>
                <w:sz w:val="22"/>
                <w:szCs w:val="22"/>
              </w:rPr>
            </w:pPr>
            <w:r w:rsidRPr="00BC4205">
              <w:rPr>
                <w:rFonts w:cs="Calibri"/>
                <w:noProof/>
                <w:color w:val="262626" w:themeColor="text1" w:themeTint="D9"/>
                <w:sz w:val="22"/>
                <w:szCs w:val="22"/>
              </w:rPr>
              <w:t>Talep Toplama Yöntemleri Kullanılarak Yapılan Halka Arzlar ve Gayrimenkul Sertifikaları Geri Alım Çağrıları</w:t>
            </w:r>
          </w:p>
        </w:tc>
      </w:tr>
      <w:tr w:rsidR="00636E11" w:rsidRPr="00BC4205" w14:paraId="5FA18F16" w14:textId="77777777" w:rsidTr="00F127D0">
        <w:tc>
          <w:tcPr>
            <w:tcW w:w="1413" w:type="dxa"/>
          </w:tcPr>
          <w:p w14:paraId="770799A9" w14:textId="77777777" w:rsidR="00636E11" w:rsidRPr="00BC4205" w:rsidRDefault="00636E11" w:rsidP="00F127D0">
            <w:pPr>
              <w:spacing w:before="60" w:after="0" w:line="240" w:lineRule="auto"/>
              <w:ind w:right="51"/>
              <w:rPr>
                <w:rFonts w:cs="Calibri"/>
                <w:noProof/>
                <w:color w:val="262626" w:themeColor="text1" w:themeTint="D9"/>
                <w:sz w:val="22"/>
                <w:szCs w:val="22"/>
              </w:rPr>
            </w:pPr>
            <w:r w:rsidRPr="00BC4205">
              <w:rPr>
                <w:rFonts w:cs="Calibri"/>
                <w:noProof/>
                <w:color w:val="262626" w:themeColor="text1" w:themeTint="D9"/>
                <w:sz w:val="22"/>
                <w:szCs w:val="22"/>
              </w:rPr>
              <w:t>.BG</w:t>
            </w:r>
          </w:p>
        </w:tc>
        <w:tc>
          <w:tcPr>
            <w:tcW w:w="7761" w:type="dxa"/>
          </w:tcPr>
          <w:p w14:paraId="799EE419" w14:textId="77777777" w:rsidR="00636E11" w:rsidRPr="00BC4205" w:rsidRDefault="00636E11" w:rsidP="00F127D0">
            <w:pPr>
              <w:spacing w:before="60" w:after="0" w:line="240" w:lineRule="auto"/>
              <w:ind w:right="51"/>
              <w:rPr>
                <w:rFonts w:cs="Calibri"/>
                <w:noProof/>
                <w:color w:val="262626" w:themeColor="text1" w:themeTint="D9"/>
                <w:sz w:val="22"/>
                <w:szCs w:val="22"/>
              </w:rPr>
            </w:pPr>
            <w:r w:rsidRPr="00BC4205">
              <w:rPr>
                <w:rFonts w:cs="Calibri"/>
                <w:noProof/>
                <w:color w:val="262626" w:themeColor="text1" w:themeTint="D9"/>
                <w:sz w:val="22"/>
                <w:szCs w:val="22"/>
              </w:rPr>
              <w:t>Sürekli İşlem Yöntemi ile Yapılan Halka Arzlar</w:t>
            </w:r>
          </w:p>
        </w:tc>
      </w:tr>
      <w:tr w:rsidR="00636E11" w:rsidRPr="00BC4205" w14:paraId="7626028F" w14:textId="77777777" w:rsidTr="00F127D0">
        <w:tc>
          <w:tcPr>
            <w:tcW w:w="1413" w:type="dxa"/>
          </w:tcPr>
          <w:p w14:paraId="53FB3082" w14:textId="77777777" w:rsidR="00636E11" w:rsidRPr="00BC4205" w:rsidRDefault="00636E11" w:rsidP="00F127D0">
            <w:pPr>
              <w:spacing w:before="60" w:after="0" w:line="240" w:lineRule="auto"/>
              <w:ind w:right="51"/>
              <w:rPr>
                <w:rFonts w:cs="Calibri"/>
                <w:noProof/>
                <w:color w:val="262626" w:themeColor="text1" w:themeTint="D9"/>
                <w:sz w:val="22"/>
                <w:szCs w:val="22"/>
              </w:rPr>
            </w:pPr>
            <w:r w:rsidRPr="00BC4205">
              <w:rPr>
                <w:rFonts w:cs="Calibri"/>
                <w:noProof/>
                <w:color w:val="262626" w:themeColor="text1" w:themeTint="D9"/>
                <w:sz w:val="22"/>
                <w:szCs w:val="22"/>
              </w:rPr>
              <w:t>.TG</w:t>
            </w:r>
          </w:p>
        </w:tc>
        <w:tc>
          <w:tcPr>
            <w:tcW w:w="7761" w:type="dxa"/>
          </w:tcPr>
          <w:p w14:paraId="6680CC2F" w14:textId="77777777" w:rsidR="00636E11" w:rsidRPr="00BC4205" w:rsidRDefault="00636E11" w:rsidP="00F127D0">
            <w:pPr>
              <w:spacing w:before="60" w:after="0" w:line="240" w:lineRule="auto"/>
              <w:ind w:right="51"/>
              <w:rPr>
                <w:rFonts w:cs="Calibri"/>
                <w:noProof/>
                <w:color w:val="262626" w:themeColor="text1" w:themeTint="D9"/>
                <w:sz w:val="22"/>
                <w:szCs w:val="22"/>
              </w:rPr>
            </w:pPr>
            <w:r w:rsidRPr="00BC4205">
              <w:rPr>
                <w:rFonts w:cs="Calibri"/>
                <w:noProof/>
                <w:color w:val="262626" w:themeColor="text1" w:themeTint="D9"/>
                <w:sz w:val="22"/>
                <w:szCs w:val="22"/>
              </w:rPr>
              <w:t>Gayrimenkul Sertifikaları için Temerrüt</w:t>
            </w:r>
          </w:p>
        </w:tc>
      </w:tr>
      <w:tr w:rsidR="00636E11" w:rsidRPr="00BC4205" w14:paraId="570EF4A1" w14:textId="77777777" w:rsidTr="00F127D0">
        <w:tc>
          <w:tcPr>
            <w:tcW w:w="1413" w:type="dxa"/>
          </w:tcPr>
          <w:p w14:paraId="2B3D1FD6" w14:textId="77777777" w:rsidR="00636E11" w:rsidRPr="00BC4205" w:rsidRDefault="00636E11" w:rsidP="00F127D0">
            <w:pPr>
              <w:spacing w:before="60" w:after="0" w:line="240" w:lineRule="auto"/>
              <w:ind w:right="51"/>
              <w:rPr>
                <w:rFonts w:cs="Calibri"/>
                <w:noProof/>
                <w:color w:val="262626" w:themeColor="text1" w:themeTint="D9"/>
                <w:sz w:val="22"/>
                <w:szCs w:val="22"/>
              </w:rPr>
            </w:pPr>
            <w:r w:rsidRPr="00BC4205">
              <w:rPr>
                <w:rFonts w:cs="Calibri"/>
                <w:noProof/>
                <w:color w:val="262626" w:themeColor="text1" w:themeTint="D9"/>
                <w:sz w:val="22"/>
                <w:szCs w:val="22"/>
              </w:rPr>
              <w:t>.MG</w:t>
            </w:r>
          </w:p>
        </w:tc>
        <w:tc>
          <w:tcPr>
            <w:tcW w:w="7761" w:type="dxa"/>
          </w:tcPr>
          <w:p w14:paraId="62FB2031" w14:textId="77777777" w:rsidR="00636E11" w:rsidRPr="00BC4205" w:rsidRDefault="00636E11" w:rsidP="00F127D0">
            <w:pPr>
              <w:spacing w:before="60" w:after="0" w:line="240" w:lineRule="auto"/>
              <w:ind w:right="51"/>
              <w:rPr>
                <w:rFonts w:cs="Calibri"/>
                <w:noProof/>
                <w:color w:val="262626" w:themeColor="text1" w:themeTint="D9"/>
                <w:sz w:val="22"/>
                <w:szCs w:val="22"/>
              </w:rPr>
            </w:pPr>
            <w:r w:rsidRPr="00BC4205">
              <w:rPr>
                <w:rFonts w:cs="Calibri"/>
                <w:noProof/>
                <w:color w:val="262626" w:themeColor="text1" w:themeTint="D9"/>
                <w:sz w:val="22"/>
                <w:szCs w:val="22"/>
              </w:rPr>
              <w:t>Gayrimenkul Sertifikaları için Resmi Müzayede</w:t>
            </w:r>
          </w:p>
        </w:tc>
      </w:tr>
    </w:tbl>
    <w:p w14:paraId="73CBB5DA" w14:textId="77777777" w:rsidR="00636E11" w:rsidRPr="00BC4205" w:rsidRDefault="00636E11" w:rsidP="00636E11">
      <w:pPr>
        <w:spacing w:before="240" w:after="0" w:line="240" w:lineRule="auto"/>
        <w:ind w:right="51"/>
        <w:jc w:val="both"/>
        <w:rPr>
          <w:rFonts w:cs="Calibri"/>
          <w:color w:val="262626" w:themeColor="text1" w:themeTint="D9"/>
        </w:rPr>
      </w:pPr>
      <w:r w:rsidRPr="00BC4205">
        <w:rPr>
          <w:rFonts w:cs="Calibri"/>
          <w:color w:val="262626" w:themeColor="text1" w:themeTint="D9"/>
        </w:rPr>
        <w:t>Sertifikalar kredili işleme konu edilemez ve açığa satış yapılamaz.</w:t>
      </w:r>
    </w:p>
    <w:p w14:paraId="690C6594"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Gayrimenkul sertifikası işlemlerinin takası, işlem gününü izleyen ikinci iş günü (T+2)’de Takasbank tarafından kendi düzenlemeleri doğrultusunda gerçekleştirilir. Gayrimenkul sertifikalarında yapılan işlemlerden paylarda geçerli olan temel Borsa payı tahsil edilir. Emir iptal, emir kötüleştirme ve miktar azaltım (İKA) ücretleri alınmaz. Sertifika işlem sırasında piyasa yapıcılık faaliyeti yürütülmesi durumunda piyasa yapıcı işlemleri için paylarda geçerli olan Borsa payı indirimi uygulanır. </w:t>
      </w:r>
    </w:p>
    <w:p w14:paraId="1BA1C27F" w14:textId="77777777" w:rsidR="00636E11" w:rsidRPr="00BC4205" w:rsidRDefault="00636E11" w:rsidP="00636E11">
      <w:pPr>
        <w:shd w:val="clear" w:color="auto" w:fill="FFFFFF"/>
        <w:spacing w:before="120" w:after="0" w:line="240" w:lineRule="auto"/>
        <w:jc w:val="both"/>
        <w:rPr>
          <w:rFonts w:cs="Calibri"/>
          <w:b/>
          <w:caps/>
          <w:color w:val="262626" w:themeColor="text1" w:themeTint="D9"/>
          <w:u w:val="single"/>
        </w:rPr>
      </w:pPr>
      <w:r w:rsidRPr="00BC4205">
        <w:rPr>
          <w:rFonts w:cs="Calibri"/>
          <w:b/>
          <w:caps/>
          <w:color w:val="262626" w:themeColor="text1" w:themeTint="D9"/>
          <w:u w:val="single"/>
        </w:rPr>
        <w:lastRenderedPageBreak/>
        <w:t>İşlem Sırasının Kapatılma Zamanı</w:t>
      </w:r>
    </w:p>
    <w:p w14:paraId="27AF52E9"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Sertifikaların işlemleri tali edimin bitiş tarihinden 2 gün (takas süresi kadar) önce durdurulur. İhraç edilen sertifikaların tamamının asli edime konu edilmesi veya tali edim döneminde sertifikaların temsil ettiği gayrimenkullerin tamamının satılması durumunda da sertifikaların işlem sırası tali edim bitiş tarihini beklemeden kapatılır. Söz konusu bildirim ihraççı tarafından Borsaya yapılır.</w:t>
      </w:r>
    </w:p>
    <w:p w14:paraId="0C0C8725"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İhraççı sertifika ihracından önce sertifika işlem sırasının tali edim sonundan farklı bir tarihte kapatılmasını talep edebilir. Söz konusu talep Borsa İcra Kurulu tarafından değerlendirilir ve ilgili sertifikalar için farklı bir son işlem tarihi belirlenebilir. Borsa İcra Kurulu ihracın özelliklerine göre işlem sırasının kapatılma tarihini ihraççının talebinden bağımsız olarak belirleyebilir. Gayrimenkul sertifikasına sahip olanlar, ellerinde eğer yeterli sayıda sertifika varsa sertifikada belirlenen tarihte inşa edilen gayrimenkulün bağımsız bir bölümünü alabilirler ya da proje sonunu beklemeden Borsa İstanbul’da sertifikaların satışını yapabilirler. </w:t>
      </w:r>
    </w:p>
    <w:p w14:paraId="57A94964"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Cayma Hakkı: Tüketici Kanunu uyarınca Gayrimenkul Satış Vaadi Sözleşmesi imzalanması durumunda sözleşme tarihinden itibaren 14 gün içinde cayma hakkı vardır. Cayma hakkını kullanan yatırımcıların bu haklarını kullanmalarının ardından sertifikalarına ilişkin blokaj çözülecek ve bu sertifikalar serbest dolaşıma açılacaktır. Cayma hakkının kullanıldığına dair bildirimin 14 günlük süre içinde ihraççıya noterlikler aracılığıyla yöneltilmesi yeterlidir. Sözleşmeden Dönme Hakkı: Resmi </w:t>
      </w:r>
      <w:proofErr w:type="spellStart"/>
      <w:r w:rsidRPr="00BC4205">
        <w:rPr>
          <w:rFonts w:cs="Calibri"/>
          <w:color w:val="262626" w:themeColor="text1" w:themeTint="D9"/>
        </w:rPr>
        <w:t>Gazete’de</w:t>
      </w:r>
      <w:proofErr w:type="spellEnd"/>
      <w:r w:rsidRPr="00BC4205">
        <w:rPr>
          <w:rFonts w:cs="Calibri"/>
          <w:color w:val="262626" w:themeColor="text1" w:themeTint="D9"/>
        </w:rPr>
        <w:t xml:space="preserve"> yayımlanan 684 sayılı KHK ile Tüketici Kanunu’nun ön ödemeli konut satışına ilişkin hükümlerine göre; </w:t>
      </w:r>
    </w:p>
    <w:p w14:paraId="14716EF4"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 Sözleşme tarihinden itibaren 24 aya kadar tüketicinin herhangi bir gerekçe göstermeden sözleşmeden dönme hakkı vardır. Sözleşmeden dönme bildiriminin ihraççıya noterlikler aracılığıyla yöneltilmesi yeterlidir. </w:t>
      </w:r>
    </w:p>
    <w:p w14:paraId="5EBA3026"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 xml:space="preserve">•Sözleşmeden dönülmesi durumunda ihraççı adına yüklenici; konutun satışı veya satış vaadi sözleşmesi nedeniyle oluşan vergi, harç ve benzeri yasal yükümlülüklerden doğan masraflar ile sözleşme tarihinden itibaren ilk üç ay için sözleşme bedelinin %2’si, üç ile altı ay arası için %4’ü, altı ile on iki ay arası için %6’sı ve on iki ile yirmi dört ay arası için de %8’i oranında tazminatın ödenmesini ister. </w:t>
      </w:r>
    </w:p>
    <w:p w14:paraId="27D613C6"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Risk Bildirimi</w:t>
      </w:r>
    </w:p>
    <w:p w14:paraId="5AC150F8"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Yatırım Kuruluşu nezdinde açtıracağınız hesap ve bu hesap üzerinden gerçekleştirilecek tüm işlemler, Sermaye Piyasası Kurulu, Borsa İstanbul A.Ş. ve takas ve saklama merkezleri tarafından çıkartılan ilgili her türlü mevzuat ve benzeri tüm idari düzenleme hükümlerine tabi olacaktır. </w:t>
      </w:r>
    </w:p>
    <w:p w14:paraId="454C2338"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Gayrimenkul sertifikası aracılığıyla gayrimenkul yatırımı yapmak, gayrimenkul fiyat değişim riskini, inşaatçıya ve projeye ilişkin riskleri ortadan kaldıramaz.</w:t>
      </w:r>
    </w:p>
    <w:p w14:paraId="14EFEF1E"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Gayrimenkul Sertifikasında herhangi bir getiri garantisi bulunmamaktadır. Getiriler sertifikaların temsil ettiği gayrimenkul projesine bağlıdır. </w:t>
      </w:r>
    </w:p>
    <w:p w14:paraId="53B50838"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İhraççı tarafından asli edimi talep eden yatırımcılara talep edilen bağımsız bölümlerin tahsis edilmesinde, asli edim talebinde bulunan yatırımcının Yatırım Kuruluşu’na bu talebini bildirme zamanı esas alınacaktır. Bu nedenle asli edim kullanımı amacıyla başvuruda bulunan veya bulunmayı amaçlayan sertifika sahiplerinin tercih ettikleri bağımsız bölümün daha önce başka yatırımcılarca talep edilmiş veya başka yatırımcıya tahsis edilmiş olması halinde, tercih edilen bağımsız bölümün edinilememe ihtimali bulunmaktadır. </w:t>
      </w:r>
    </w:p>
    <w:p w14:paraId="630940A1"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Tali edimi talep ettiği kabul edilen yatırımcılar tali edim ifa süresi içerisinde asli edimi talep edebilirler (edim değişikliği). Bu durumda yatırımcılar daha önce asli edim kullanımına ve/veya asli edim ifasına konu edilmemiş ve hâlihazırda üçüncü kişilere satışı gerçekleştirilmemiş bağımsız bölümler arasında zaman önceliğine göre tercihte bulunacaklar ve talepleri ihraççı tarafından olumlu karşılanması kaydıyla yerine getirilecektir. Zaman önceliğinde yatırımcı tarafından aracı kuruluşlara yapılan başvuru zamanı dikkate alınır. Bu durumda sertifika sahipleri ancak ihraca konu bağımsız bölümlerden daha önce asli edime konu edilmemiş ve başvuru anına kadar </w:t>
      </w:r>
      <w:r w:rsidRPr="00BC4205">
        <w:rPr>
          <w:rFonts w:cs="Calibri"/>
          <w:color w:val="262626" w:themeColor="text1" w:themeTint="D9"/>
        </w:rPr>
        <w:lastRenderedPageBreak/>
        <w:t xml:space="preserve">satılmamış olan bağımsız bölümler arasında seçim yapabileceklerinden, yatırımcıların istedikleri özellikteki bağımsız bölümü edinememe ihtimali bulunmaktadır. </w:t>
      </w:r>
    </w:p>
    <w:p w14:paraId="75015D17"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Asli edim kullanım süresinin bitiminden itibaren tali edime konu bağımsız bölümler ihraççı tarafından üçüncü kişilere satılacaktır. Ancak, sertifikanın temsil ettiği projenin tamamlanmasından sonra, tali edime konu bağımsız bölümlerin bir kısmı veya tamamı için alıcı bulunamayabilir veya yapılan satışlarda beklenenden düşük bir fiyat oluşabilir. Bu durum yatırımcıların getirilerinin beklenen getiriden daha düşük seviyelerde gerçekleşmesiyle sonuçlanabilir. Diğer taraftan, söz konusu bağımsız bölümlere yeterli talep gelmemesi durumunda sertifikaların borsa fiyatı da olumsuz yönde etkilenebilir. </w:t>
      </w:r>
    </w:p>
    <w:p w14:paraId="505D3E2E"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Tali edim ifa süresi içerisinde en az bir açık artırma yapılacak ve sertifika ihracına konu edilen ancak asli edime konu edilmeyen bağımsız bölümler söz konusu açık artırmalarda oluşan fiyatlar üzerinden satışa sunulacaktır. Bu satışlar neticesinde elde edilen hasılat yatırımcılara sahip oldukları sertifikalar nispetinde dağıtılacaktır. Ancak, bu açık artırmalarda oluşan fiyatların yatırımcıların beklentilerinin altında kalma riski vardır. Bu durum yatırımcıların gayrimenkul sertifikası yatırımlarından zarar etmelerine neden olabilir. Ayrıca, projenin tamamlanması sonrasında, tüm bağımsız bölümlerin satışının vade tarihinden önce gerçekleştirilmesinin ardından 2 (iki) iş günü süre içinde tali edim ifası gerçekleştirilebilir. Bu durumda gayrimenkul sertifikasının vadesinin izahnamede belirlenen süreden daha kısa sürede dolma riski vardır. </w:t>
      </w:r>
    </w:p>
    <w:p w14:paraId="24274A3F"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Projede blok, cephe, kat ve malzeme farklılıkları gibi nedenlerle bağımsız bölümler arasında fiyat farklıkları oluşmaktadır. Bu fiyat farklılıkları genel olarak şerefiye olarak adlandırılır. Asli edim sırasında yatırımcılardan şerefiye talep edilmemesi amacıyla dairelerin şerefiyeleri sertifika adedine dâhil edilmiş olup, benzer nitelikteki daireler arasında şerefiyesi yüksek olan daire için daha fazla; şerefiyesi düşük olan daire için ise daha az sertifika toplanacaktır. Halka arz öncesinde ihraççı tarafından belirlenen söz konusu şerefiye değerleri projenin ilerleyen safhalarında veya projenin tamamlanmasından sonra arz-talebe göre, çevre yatırımlardaki ve yatırımcı tercihindeki değişiklikler vb. ihraç aşamasında öngörülemeyen nedenlerle farklılık gösterebilir. Ayrıca şerefiye ile metrekare fiyatları proje süresince aynı oranda artmayabilir ve bu nedenle yatırımcılar söz konusu şerefiye değişimlerinden dolayı zarara uğrayabilir. </w:t>
      </w:r>
    </w:p>
    <w:p w14:paraId="12581D12"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Projede sosyal donatıların, ortak kullanıma açık alanların ve projedeki bağımsız bölümlerin planlarında proje ilerleme sürecinde bazı değişiklikler olma riski mevcuttur. Bu durum projenin bütünüyle birlikte sertifika ihracına konu bağımsız bölümlerin şerefiyelerinde değişimlere neden olabilir ve bu değişimler sertifikaların fiyatını olumsuz etkileyebilir. Söz konusu olumsuzluklar projenin değer kaybetmesine ve yatırımcıların zarar etmelerine neden olabilir. </w:t>
      </w:r>
    </w:p>
    <w:p w14:paraId="595FE845"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Dönme hakkını kullanan yatırımcıların bu haklarını kullanmalarının ardından sertifikalarına ilişkin blokaj çözülecek ve bu sertifikalar serbest dolaşıma açılacaktır. Dolayısıyla, gayrimenkul sertifikalarının ikincil piyasasında yaşanabilecek işlem hacmi artışından kaynaklı ilave fiyat değişim riski doğabilecektir. Ayrıca, daha önce bu yatırımcılara tahsis edilen bağımsız bölümler üzerindeki tahsisatlar da kaldırılarak söz konusu bağımsız bölümler diğer yatırımcılardan talep gelmemesi halinde tali edime konu edilir. Dolayısıyla tali edime konu bağımsız bölümlerin arzındaki artıştan kaynaklı fiyat baskısı oluşturabilecektir. </w:t>
      </w:r>
    </w:p>
    <w:p w14:paraId="4F5E89C4"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Tali edime konu bağımsız bölümlerin tali edim ifa süresi içerisinde üçüncü kişilere satılması sonucunda bu bağımsız bölümlerin satışından elde edilen gelir ihraççının tali edim gelirlerinin tutulduğu ve nemalandırıldığı hesapta toplanacaktır. Tali edime konu bağımsız bölüm satışından elde edilen fon söz konusu bağımsız bölümlerin tamamı satılıncaya kadar vekilin özen borcu çerçevesinde ihraççı tarafından Hazine Müsteşarlığınca ve/veya özel sektör ihraççılarınca çıkarılan kira sertifikalarına ve/veya katılma hesaplarına yatırım yapılarak değerlendirilecektir. İhraççının yatırım yapacağı sermaye piyasası araçlarından sağlanan getirinin, yatırımcıların bekledikleri ve piyasadaki alternatif yatırım araçlarının getiri oranının altında kalma riski vardır. </w:t>
      </w:r>
    </w:p>
    <w:p w14:paraId="78D7F0DA"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lastRenderedPageBreak/>
        <w:t>Mevzuattaki değişimler veya yeni bir mevzuatın yürürlüğe girmesi sonucunda sertifikanın getirisinde değişiklik yaşanması ihtimali vardır. Ayrıca, konut mevzuatında oluşabilecek değişikliklerden kaynaklı olarak asli edimi talep eden gayrimenkul sertifikası sahiplerinin farklı vergi, resim, harç veya benzeri maliyetlere katlanmaları gerekebilir.</w:t>
      </w:r>
    </w:p>
    <w:p w14:paraId="0F3FD46F"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Sertifikanın temsil ettiği projede kullanılacak uygun iş gücünün bulunamaması, hammadde tedarikinde yaşanacak problemler, mimari problemler ve iş kazaları gibi konular projenin tamamlanma tarihini olumsuz etkileyebilir ve projenin öngörülen sürede tamamlanamamasına neden olabilir. Söz konusu faktörlerin herhangi birinde oluşacak aksama projenin bitiş tarihinin ve dolayısıyla edim ifa sürelerinin ertelenmesine neden olabilir. Öte yandan proje sürecince imar, belediye, iskân ve çevre mevzuatındaki değişiklikler proje sürelerini uzatabileceği gibi söz konusu mevzuat değişiklikler projenin zamanında tamamlanamamasına ve edimlerin öngörülen sürelerde yerine getirilememesine neden olabilir. Bu durum yatırımcıların gayrimenkul sertifikası yatırımlarından zarar etmelerine neden olabilir. </w:t>
      </w:r>
    </w:p>
    <w:p w14:paraId="1EC555E8"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Yüklenici ve ihraççının elinde olmayan nedenlerle projeye ilişkin yürütmeyi durdurma kararı verilmesi durumunda proje belirli veya belirsiz bir süre boyunca durabilir. Böylesi bir durumda projenin tamamlanma ve edimlerin ifa sürelerinde gecikmeye neden olabilir. </w:t>
      </w:r>
    </w:p>
    <w:p w14:paraId="137D65DF"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İhraççının inşaat ve taşınmazlara ilişkin faaliyetleri bir dizi çevre hukuku düzenlemelerine tabidir. TOKİ hâlihazırda iş modellerine ilişkin bazı hukuki uyuşmazlıklara taraf olup, söz konusu uyuşmazlıkların sonucu konusunda herhangi bir garanti bulunmamaktadır. Sertifikaların temsil ettiği projede çeşitli hukuki davalarla karşılaşılabilir ve söz konusu davalar projeye ve edimlerin yerine getirilmesine ilişkin gecikmeler yaratabilir. </w:t>
      </w:r>
    </w:p>
    <w:p w14:paraId="4CB9E584"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Projenin yükleniciden kaynaklı ve/veya mücbir sebeplerden ötürü izahnamede belirtilen proje teslim tarihinde tamamlanamama riski bulunmaktadır. Projenin gecikmesi durumunun anlaşıldığı tarihten itibaren 15 (on beş) iş günü içerisinde Gayrimenkul Sertifikaları Tebliğinin 6 </w:t>
      </w:r>
      <w:proofErr w:type="spellStart"/>
      <w:r w:rsidRPr="00BC4205">
        <w:rPr>
          <w:rFonts w:cs="Calibri"/>
          <w:color w:val="262626" w:themeColor="text1" w:themeTint="D9"/>
        </w:rPr>
        <w:t>ıncı</w:t>
      </w:r>
      <w:proofErr w:type="spellEnd"/>
      <w:r w:rsidRPr="00BC4205">
        <w:rPr>
          <w:rFonts w:cs="Calibri"/>
          <w:color w:val="262626" w:themeColor="text1" w:themeTint="D9"/>
        </w:rPr>
        <w:t xml:space="preserve"> maddesi uyarınca bir fizibilite raporu hazırlatılır ve bu raporda projenin tamamlanması için gerekli olduğu belirtilen süre için Kurula ek süre talebiyle başvurulur. Kurulca verilecek bu ek süre genel zorlayıcı sebepler haricinde hiçbir şekilde proje bitiş tarihini izleyen 180 günü aşamaz. Dolayısıyla, projenin herhangi bir sebeple öngörülen sürede tamamlanamaması durumunda edimlerin yerine getirilmesi gecikebilir. Ayrıca, yüklenici tarafından projenin hiç tamamlanamama riski bulunmaktadır. Böyle bir durumda, yeni bir ihale (tamamlatma ihalesi) düzenlenerek projede geri kalan işler ihraççı tarafından tamamlatılır. Ancak tamamlatma ihalesinin hazırlanmasına ve işin yeni bir yükleniciye devredilmesine ilişkin prosedürler zaman alabilir. Bu durumda proje bitiş tarihi yeniden belirlenerek asli ve tali edim ifalarına ilişkin süreler ertelenebilecektir. </w:t>
      </w:r>
    </w:p>
    <w:p w14:paraId="12A6DA10"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Projenin tamamlanması aşamasında, projedeki bağımsız bölümlere ilişkin kat mülkiyeti tesisi ve iskân alınması gibi süreçlerde öngörülemeyen gecikmeler yaşanması ve buna bağlı olarak teslim sürecinde aksaklıklar yaşanması söz konusu olabilir. </w:t>
      </w:r>
    </w:p>
    <w:p w14:paraId="26085AE0"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İhraç edilen sertifikaların borsada işlem görmeye başladığı tarihten sonraki dönemde, bu sertifikalar için likit bir ikincil piyasa gelişmeyebilir ya da gelişmesi halinde dahi bu durum süreklilik arz etmeyebilir. Bu nedenle sertifikaların işlem göreceği piyasada meydana gelecek fiyat dalgalanmaları sertifika sahiplerinin istediği zaman ve arzulanan fiyattan sertifikalarını satamamalarına neden olabilir. </w:t>
      </w:r>
    </w:p>
    <w:p w14:paraId="29930CA8"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Sertifikaların ihraç fiyatı, projenin veya projedeki ilgili bağımsız bölümlerin piyasadaki güncel değerinin ya da projeye ilişkin gelecekteki beklentilerin göstergesi olmayabilir. Sertifikaların fiyatlarındaki dalgalanmalar yatırımcıların sertifikalarını ihraç fiyatından ya da ihraç fiyatının üzerinde bir fiyattan satamamalarına neden olabilir ve bu durum yatırımcıların gayrimenkul sertifikası yatırımlarından zarar etmeleriyle sonuçlanabilir. </w:t>
      </w:r>
    </w:p>
    <w:p w14:paraId="0959553D"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Borsa’nın Pay Piyasası Yönergesi ile bu yönergeye dayanılarak hazırlanan Pay Piyasası İşleyişine İlişkin Uygulama Usulü ve Esaslarının ilgili hükümleri uyarınca çeşitli durumların varlığı halinde bir </w:t>
      </w:r>
      <w:r w:rsidRPr="00BC4205">
        <w:rPr>
          <w:rFonts w:cs="Calibri"/>
          <w:color w:val="262626" w:themeColor="text1" w:themeTint="D9"/>
        </w:rPr>
        <w:lastRenderedPageBreak/>
        <w:t xml:space="preserve">sermaye piyasası aracına ilişkin işlemler geçici olarak durdurulabilir veya işlemlerde çok fiyat yöntemi yerine tek fiyat yöntemine geçilebilir. Bu durum yatırımcıların sertifikalarının likiditesini olumsuz yönde etkileyebilir ve yatırımcılar fiyat değişimlerinden kaynaklı zarara uğrayabilir. </w:t>
      </w:r>
    </w:p>
    <w:p w14:paraId="4327AE39"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Gayrimenkul sertifikalarının herhangi bir zaman diliminde borsada oluşan fiyatları baz alınarak herhangi bir bağımsız bölüme denk gelen sertifikaların tespit edilen toplam değeri, aynı projede gayrimenkul sertifikası ihracına konu olmayan benzer özellikteki bağımsız bölümlerin o anki piyasada oluşan satış fiyatlarından daha yüksek olabilir. Diğer bir ifadeyle, gayrimenkul sertifikalarının borsada oluşan fiyatı üzerinden hesaplanan bağımsız bölüm fiyatı, söz konusu sertifikalara dayanak olmayan benzer özellikteki bağımsız bölümlerin piyasa satış fiyatlarının üzerinde olabilir ve borsa fiyatı piyasa fiyatını tam ve doğru bir biçimde yansıtmayabilir. Bu durum asli edimi (konut teslimi) talep eden yatırımcılar tarafından ilgili bağımsız bölümlerin piyasa fiyatlarının üzerinden edinilmesine neden olabilir. </w:t>
      </w:r>
    </w:p>
    <w:p w14:paraId="645388DC"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Gayrimenkul sertifikası alım satım işlemleri çeşitli oranlarda risklere tabidir. Piyasada oluşacak fiyat hareketleri sonucunda Yatırım Kuruluşu’na yatırdığınız paranın tümünü kaybedebilirsiniz. </w:t>
      </w:r>
    </w:p>
    <w:p w14:paraId="73B65D0D"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Gayrimenkul sertifikasının değeri, genel ekonomik ve siyasi ortam kaynaklı fiyat hareketlerinden, spekülatif ve manipülatif nitelikteki işlemlerden etkilenebilir. </w:t>
      </w:r>
    </w:p>
    <w:p w14:paraId="361CA29A"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Gayrimenkul sertifikası alım satım işlemlerinde farklı bir şekilde tezahür eden karşı taraf riski bulunmaktadır. Bu doğrultuda, işleme başlamadan önce, sertifikaları ihraç eden şirketin mali durumunun bozulması, iflası, şirket malvarlığına kamu otoriteleri tarafından el konulması gibi ihtimalleri göz önünde bulundurmalısınız. </w:t>
      </w:r>
    </w:p>
    <w:p w14:paraId="0396B090"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BİST, ilgili mevzuat çerçevesinde, işlem gören ihraççı şirketlerin işlem sıralarını kapatmaya, yükümlülüklerini yerine getirmeyen şirketlere ait sertifikaları sürekli veya geçici olarak borsa kotundan çıkarmaya yetkilidir. </w:t>
      </w:r>
    </w:p>
    <w:p w14:paraId="470023C8"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Yatırım Kuruluşu’nun piyasalarda yapacağınız işlemlere ilişkin tarafınıza aktaracağı bilgiler ve yapacağı tavsiyelerin eksik veya doğrulanmaya muhtaç olabileceği tarafınızca dikkate alınmalıdır. </w:t>
      </w:r>
    </w:p>
    <w:p w14:paraId="6B699495"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Alım satıma ilişkin olarak Yatırım Kuruluşu’nun yetkili personelince yapılacak teknik ve temel analizin kişiden kişiye farklılık arz edebileceği ve bu analizlerde yapılan öngörülerin kesin olarak gerçekleşmeme olasılığının bulunduğu dikkate alınmalıdır. </w:t>
      </w:r>
    </w:p>
    <w:p w14:paraId="4C760BAB"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İşlemlerinize başlamadan önce, işlemlerinizin borsalara, takas ve saklama kuruluşlarına ve yatırım kuruluşlarına ödenecek komisyon ücretlerine ve ilgili mevzuatta belirlenen oranlarda vergiye tabi tutulacağının bilincinde olmalısınız. İşlemlerinize başlamadan önce, işlemlerinize ilişkin ücretler ve ücretler parasal olarak ifade edilmemişse, ücretlerin parasal olarak size nasıl yansıyacağı ile ilgili anlaşılır örnekler içeren yazılı bir açıklama tarafınıza sunulacaktır. </w:t>
      </w:r>
    </w:p>
    <w:p w14:paraId="67AA7C8E"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İnşaat projelerine ve satışlarına tanınan muafiyetlerin/istisnaların yanı sıra sertifikalara da çeşitli muafiyetler/istisnalar ve vergi avantajları uygulanmaktadır. Bu vergisel muafiyetler/istisnalar zaman içerisinde değişikliye uğrayabilir veya kaldırılabilir; bu durum sertifika sahiplerinin sağlayacağı kazancı olumsuz yönde etkileyebilir. </w:t>
      </w:r>
    </w:p>
    <w:p w14:paraId="127940D6" w14:textId="77777777" w:rsidR="00636E11" w:rsidRPr="00BC4205" w:rsidRDefault="00636E11" w:rsidP="00636E11">
      <w:pPr>
        <w:pStyle w:val="ListeParagraf"/>
        <w:numPr>
          <w:ilvl w:val="0"/>
          <w:numId w:val="9"/>
        </w:numPr>
        <w:autoSpaceDE w:val="0"/>
        <w:autoSpaceDN w:val="0"/>
        <w:adjustRightInd w:val="0"/>
        <w:spacing w:before="120" w:after="0" w:line="240" w:lineRule="auto"/>
        <w:ind w:left="426" w:right="50" w:hanging="426"/>
        <w:contextualSpacing w:val="0"/>
        <w:jc w:val="both"/>
        <w:rPr>
          <w:rFonts w:cs="Calibri"/>
          <w:color w:val="262626" w:themeColor="text1" w:themeTint="D9"/>
        </w:rPr>
      </w:pPr>
      <w:r w:rsidRPr="00BC4205">
        <w:rPr>
          <w:rFonts w:cs="Calibri"/>
          <w:color w:val="262626" w:themeColor="text1" w:themeTint="D9"/>
        </w:rPr>
        <w:t xml:space="preserve">Yabancı Uyruklu Kişilerin Asli Edim Taleplerine İlişkin Riskler 2644 sayılı Tapu Kanunu’nun 18 Mayıs 2012 tarihinde yürürlüğe giren 6302 sayılı Kanun ile değişik 35. Maddesi uyarınca, yabancı uyruklu gerçek kişilerin ülkemizde taşınmaz edinmesinde karşılıklılık şartı kaldırılmıştır. Bu nedenle yabancı uyruklu gerçek kişiler, kanuni sınırlamalara uyulmak kaydıyla, ülkemizde nitelik bakımından her türlü taşınmaz (Konut, İşyeri, Arsa, Tarla) edinebilmektedir. Ancak bu hak söz konusu kişinin hangi ülke vatandaşı olduğu, edinebileceği konut ve arsa miktarı, bölge toplamında yabancıların taşınmaz edinmesine verilen izin miktarı, taşınmazın bulunduğu yerin askeri yasak bölgeler ve güvenlik bölgelerinde olup olmaması veya yakınlığı ve buna benzer pek çok nedenden dolayı kısıtlanabilir veya kaldırılabilir. </w:t>
      </w:r>
    </w:p>
    <w:p w14:paraId="50B8FEC6" w14:textId="77777777" w:rsidR="00636E11" w:rsidRPr="00BC4205" w:rsidRDefault="00636E11" w:rsidP="00636E11">
      <w:pPr>
        <w:pStyle w:val="ListeParagraf"/>
        <w:autoSpaceDE w:val="0"/>
        <w:autoSpaceDN w:val="0"/>
        <w:adjustRightInd w:val="0"/>
        <w:spacing w:before="120" w:after="0" w:line="240" w:lineRule="auto"/>
        <w:ind w:left="426" w:right="50"/>
        <w:contextualSpacing w:val="0"/>
        <w:jc w:val="both"/>
        <w:rPr>
          <w:rFonts w:cs="Calibri"/>
          <w:color w:val="262626" w:themeColor="text1" w:themeTint="D9"/>
        </w:rPr>
      </w:pPr>
      <w:r w:rsidRPr="00BC4205">
        <w:rPr>
          <w:rFonts w:cs="Calibri"/>
          <w:color w:val="262626" w:themeColor="text1" w:themeTint="D9"/>
        </w:rPr>
        <w:lastRenderedPageBreak/>
        <w:t xml:space="preserve">Yabancı tüzel kişilerin Türkiye’de taşınmaz edinmeleri 2644 sayılı Tapu Kanunu’nun 35.maddesi ile düzenlenmiştir. Buna göre; yabancı ülkelerde kendi ülkelerinin kanunlarına göre kurulan tüzel kişiliğe sahip ticaret şirketleri, ancak özel kanun hükümleri (6491 sayılı Türk Petrol Kanunu, 2634 sayılı Turizmi Teşvik Kanunu, 4737 sayılı Endüstri Bölgeleri Kanunu) çerçevesinde taşınmaz ve sınırlı ayni hak edinebilirler. Bu ticaret şirketleri lehine taşınmaz rehin tesisinde sınırlama uygulanmaz. Yabancı Ticaret şirketleri dışındaki tüzel kişiler (Vakıf, Dernek, vb.) taşınmaz edinemez ve lehlerine sınırlı ayni hak tesis edilemez. </w:t>
      </w:r>
    </w:p>
    <w:p w14:paraId="6412D223" w14:textId="77777777" w:rsidR="00636E11" w:rsidRPr="00BC4205" w:rsidRDefault="00636E11" w:rsidP="00636E11">
      <w:pPr>
        <w:pStyle w:val="ListeParagraf"/>
        <w:autoSpaceDE w:val="0"/>
        <w:autoSpaceDN w:val="0"/>
        <w:adjustRightInd w:val="0"/>
        <w:spacing w:before="120" w:after="0" w:line="240" w:lineRule="auto"/>
        <w:ind w:left="426" w:right="50"/>
        <w:contextualSpacing w:val="0"/>
        <w:jc w:val="both"/>
        <w:rPr>
          <w:rFonts w:cs="Calibri"/>
          <w:color w:val="262626" w:themeColor="text1" w:themeTint="D9"/>
        </w:rPr>
      </w:pPr>
      <w:r w:rsidRPr="00BC4205">
        <w:rPr>
          <w:rFonts w:cs="Calibri"/>
          <w:color w:val="262626" w:themeColor="text1" w:themeTint="D9"/>
        </w:rPr>
        <w:t xml:space="preserve">Yabancı yatırımcıların birlikte veya ayrı ayrı %50 veya daha fazla oranda hissesine sahip oldukları veya bu hisse oranına sahip olmamakla birlikte yöneticilerin çoğunluğunu atayabilme veya görevden alabilme yetkisine sahip bulundukları Türkiye'de kurulu tüzel kişiliğe sahip “yabancı sermayeli şirketler” in taşınmaz edinimi, 2644 sayılı Tapu Kanunu’nun 36.maddesi ve 16/08/2012 tarihli ''2644 Sayılı Tapu Kanununun 36 </w:t>
      </w:r>
      <w:proofErr w:type="spellStart"/>
      <w:r w:rsidRPr="00BC4205">
        <w:rPr>
          <w:rFonts w:cs="Calibri"/>
          <w:color w:val="262626" w:themeColor="text1" w:themeTint="D9"/>
        </w:rPr>
        <w:t>ncı</w:t>
      </w:r>
      <w:proofErr w:type="spellEnd"/>
      <w:r w:rsidRPr="00BC4205">
        <w:rPr>
          <w:rFonts w:cs="Calibri"/>
          <w:color w:val="262626" w:themeColor="text1" w:themeTint="D9"/>
        </w:rPr>
        <w:t xml:space="preserve"> Maddesi Kapsamındaki Şirketlerin ve İştiraklerin Taşınmaz Mülkiyeti Ve Sınırlı Aynî Hak Edinimine İlişkin Yönetmelikle düzenlenmiştir. Konuyla ilgili işlemler, Tapu ve Kadastro Genel Müdürlüğü’nün “Yabancı sermayeli şirketlerin taşınmaz ve sınırlı ayni hak edinmeleri” konulu, 2012/13 (1735) sayılı genelgesi çerçevesinde yapılacaktır. </w:t>
      </w:r>
    </w:p>
    <w:p w14:paraId="41146B3F" w14:textId="77777777" w:rsidR="00636E11" w:rsidRPr="00776A7F" w:rsidRDefault="00636E11" w:rsidP="002C0A4B">
      <w:pPr>
        <w:pStyle w:val="Balk1"/>
        <w:contextualSpacing/>
        <w:jc w:val="center"/>
        <w:rPr>
          <w:rFonts w:ascii="Calibri" w:hAnsi="Calibri" w:cs="Calibri"/>
          <w:b/>
          <w:bCs/>
          <w:caps/>
          <w:color w:val="auto"/>
          <w:sz w:val="24"/>
          <w:szCs w:val="24"/>
        </w:rPr>
      </w:pPr>
      <w:bookmarkStart w:id="18" w:name="_BORÇLANMA_ARAÇLARI_RİSK"/>
      <w:bookmarkEnd w:id="18"/>
      <w:r w:rsidRPr="00776A7F">
        <w:rPr>
          <w:rFonts w:ascii="Calibri" w:hAnsi="Calibri" w:cs="Calibri"/>
          <w:b/>
          <w:bCs/>
          <w:caps/>
          <w:color w:val="auto"/>
          <w:sz w:val="24"/>
          <w:szCs w:val="24"/>
        </w:rPr>
        <w:t>BORÇLANMA ARAÇLARI RİSK BİLDİRİM FORMU</w:t>
      </w:r>
    </w:p>
    <w:p w14:paraId="47632441"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Önemli Açıklama</w:t>
      </w:r>
    </w:p>
    <w:p w14:paraId="4172BFAF" w14:textId="77777777" w:rsidR="00636E11" w:rsidRPr="00BC4205" w:rsidRDefault="00636E11" w:rsidP="00636E11">
      <w:pPr>
        <w:spacing w:before="120" w:after="0" w:line="240" w:lineRule="auto"/>
        <w:ind w:right="50"/>
        <w:jc w:val="both"/>
        <w:rPr>
          <w:rFonts w:eastAsiaTheme="minorHAnsi" w:cs="Calibri"/>
          <w:color w:val="262626" w:themeColor="text1" w:themeTint="D9"/>
        </w:rPr>
      </w:pPr>
      <w:r w:rsidRPr="00BC4205">
        <w:rPr>
          <w:rFonts w:eastAsiaTheme="minorHAnsi" w:cs="Calibri"/>
          <w:color w:val="262626" w:themeColor="text1" w:themeTint="D9"/>
        </w:rPr>
        <w:t xml:space="preserve">Sermaye piyasasında gerçekleştireceğiniz borçlanma araçları alım satım işlemleri sonucunda kâr elde edebileceğiniz gibi zarar riskiniz de bulunmaktadır. Bu nedenle MÜŞTERİ, borçlanma araçları işlemi yapmaya karar vermeden önce, bu işlemler kapsamında Borçlanma Araçları Piyasası’nda karşılaşabileceği riskleri anlamalı, mali durumunu ve kısıtları dikkate alarak karar vermelidir. </w:t>
      </w:r>
    </w:p>
    <w:p w14:paraId="6A306FE4" w14:textId="77777777" w:rsidR="00636E11" w:rsidRPr="00BC4205" w:rsidRDefault="00636E11" w:rsidP="00636E11">
      <w:pPr>
        <w:spacing w:before="120" w:after="0" w:line="240" w:lineRule="auto"/>
        <w:ind w:right="50"/>
        <w:jc w:val="both"/>
        <w:rPr>
          <w:rFonts w:eastAsiaTheme="minorHAnsi" w:cs="Calibri"/>
          <w:color w:val="262626" w:themeColor="text1" w:themeTint="D9"/>
        </w:rPr>
      </w:pPr>
      <w:r w:rsidRPr="00BC4205">
        <w:rPr>
          <w:rFonts w:eastAsiaTheme="minorHAnsi" w:cs="Calibri"/>
          <w:color w:val="262626" w:themeColor="text1" w:themeTint="D9"/>
        </w:rPr>
        <w:t xml:space="preserve">Müşteri’nin, yatırım kuruluşu nezdinde açtıracağı hesap ve bu hesap üzerinden gerçekleştirilecek tüm borçlanma araçları alım satım işlemleri Sermaye Piyasası Kurulu’nca çıkartılan ilgili her türlü mevzuat ve benzeri tüm idari düzenleme hükümlerine tabidir. Tarafların hukuki ilişkilerinin tam ve açıklıkla belirlenmesine yönelik olarak, işlem kapsamına giren her türlü detay ve açıklamaya aralarındaki çerçeve sözleşme metninde yer verilmiştir. </w:t>
      </w:r>
    </w:p>
    <w:p w14:paraId="5F417D6E" w14:textId="77777777" w:rsidR="00636E11" w:rsidRPr="00BC4205" w:rsidRDefault="00636E11" w:rsidP="00636E11">
      <w:pPr>
        <w:spacing w:before="120" w:after="0" w:line="240" w:lineRule="auto"/>
        <w:ind w:right="50"/>
        <w:jc w:val="both"/>
        <w:rPr>
          <w:rFonts w:eastAsiaTheme="minorHAnsi" w:cs="Calibri"/>
          <w:color w:val="262626" w:themeColor="text1" w:themeTint="D9"/>
        </w:rPr>
      </w:pPr>
      <w:r w:rsidRPr="00BC4205">
        <w:rPr>
          <w:rFonts w:eastAsiaTheme="minorHAnsi" w:cs="Calibri"/>
          <w:color w:val="262626" w:themeColor="text1" w:themeTint="D9"/>
        </w:rPr>
        <w:t>Borçlanma araçları işlemleri sonucunda sağlanacak getiri kadar karşılaşılması muhtemel zararın miktarı da çok yüksek tutarda olabilir. Bunun yanı sıra MÜŞTERİ, işlem başlangıcında sayısal olarak ortaya konulamayan miktarlarda zarara maruz kalabilir.</w:t>
      </w:r>
    </w:p>
    <w:p w14:paraId="6E75CB9C" w14:textId="77777777" w:rsidR="00636E11" w:rsidRPr="00BC4205" w:rsidRDefault="00636E11" w:rsidP="00636E11">
      <w:pPr>
        <w:spacing w:before="120" w:after="0" w:line="240" w:lineRule="auto"/>
        <w:ind w:right="50"/>
        <w:jc w:val="both"/>
        <w:rPr>
          <w:rFonts w:eastAsiaTheme="minorHAnsi" w:cs="Calibri"/>
          <w:color w:val="262626" w:themeColor="text1" w:themeTint="D9"/>
        </w:rPr>
      </w:pPr>
      <w:r w:rsidRPr="00BC4205">
        <w:rPr>
          <w:rFonts w:eastAsiaTheme="minorHAnsi" w:cs="Calibri"/>
          <w:color w:val="262626" w:themeColor="text1" w:themeTint="D9"/>
        </w:rPr>
        <w:t xml:space="preserve">Borçlanma araçları işlemleri kapsamında, aracı kuruluş çalışanlarının hatalı işlemlerini de kapsayacak şekilde, tazminat garantisi veren zorunlu sigorta anlaşmaları bulunmamaktadır. Piyasadaki fiyat hareketleri, ihraççının ödeme güçlüğüne düşmesi veya iflası vb. haller için yatırım kuruluşu garantisi veya yatırımcı tazmin sistemi bulunmamaktadır. Elektronik işlem platformlarında gerçekleştirilecek borçlanma araçları işlemleri kapsamında bilgi işlem altyapısında yaşanması muhtemel olumsuzluklardan kaynaklanan farklı risklere maruz kalınması mümkündür. </w:t>
      </w:r>
    </w:p>
    <w:p w14:paraId="38111A08" w14:textId="77777777" w:rsidR="00636E11" w:rsidRPr="00BC4205" w:rsidRDefault="00636E11" w:rsidP="00636E11">
      <w:pPr>
        <w:spacing w:before="120" w:after="0" w:line="240" w:lineRule="auto"/>
        <w:ind w:right="50"/>
        <w:jc w:val="both"/>
        <w:rPr>
          <w:rFonts w:eastAsiaTheme="minorHAnsi" w:cs="Calibri"/>
          <w:color w:val="262626" w:themeColor="text1" w:themeTint="D9"/>
        </w:rPr>
      </w:pPr>
      <w:r w:rsidRPr="00BC4205">
        <w:rPr>
          <w:rFonts w:eastAsiaTheme="minorHAnsi" w:cs="Calibri"/>
          <w:color w:val="262626" w:themeColor="text1" w:themeTint="D9"/>
        </w:rPr>
        <w:t xml:space="preserve">Bu amaçla, Seri: III-39.1 sayılı “Yatırım Kuruluşlarının Kuruluş ve Faaliyet Esasları Hakkında </w:t>
      </w:r>
      <w:proofErr w:type="spellStart"/>
      <w:r w:rsidRPr="00BC4205">
        <w:rPr>
          <w:rFonts w:eastAsiaTheme="minorHAnsi" w:cs="Calibri"/>
          <w:color w:val="262626" w:themeColor="text1" w:themeTint="D9"/>
        </w:rPr>
        <w:t>Tebliği”nin</w:t>
      </w:r>
      <w:proofErr w:type="spellEnd"/>
      <w:r w:rsidRPr="00BC4205">
        <w:rPr>
          <w:rFonts w:eastAsiaTheme="minorHAnsi" w:cs="Calibri"/>
          <w:color w:val="262626" w:themeColor="text1" w:themeTint="D9"/>
        </w:rPr>
        <w:t xml:space="preserve"> (Tebliğ) 25. maddesinde öngörüldüğü üzere “Borçlanma Araçlarına İlişkin Risk Bildirim </w:t>
      </w:r>
      <w:proofErr w:type="spellStart"/>
      <w:r w:rsidRPr="00BC4205">
        <w:rPr>
          <w:rFonts w:eastAsiaTheme="minorHAnsi" w:cs="Calibri"/>
          <w:color w:val="262626" w:themeColor="text1" w:themeTint="D9"/>
        </w:rPr>
        <w:t>Formu”nda</w:t>
      </w:r>
      <w:proofErr w:type="spellEnd"/>
      <w:r w:rsidRPr="00BC4205">
        <w:rPr>
          <w:rFonts w:eastAsiaTheme="minorHAnsi" w:cs="Calibri"/>
          <w:color w:val="262626" w:themeColor="text1" w:themeTint="D9"/>
        </w:rPr>
        <w:t xml:space="preserve"> yer alan aşağıdaki hususları anlamanız gerekmektedir.</w:t>
      </w:r>
    </w:p>
    <w:p w14:paraId="03207037"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Borçlanma Araçları Piyasasında İşleyiş Esasları</w:t>
      </w:r>
    </w:p>
    <w:p w14:paraId="0E7D9027"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Borçlanma Araçları Piyasası bünyesindeki pazarlarda (Kesin Alım-Satım Pazarı, Repo Ters Repo Pazarı, Menkul Kıymet Tercihli Repo Pazarı, Pay Senedi Repo Pazar, Nitelikli Yatırımcıya İhraç Pazarı)  Türk lirası ve döviz ödemeli ihraç edilmiş, borçlanma araçları, menkul kıymetleştirilmiş varlık ve gelirlere dayalı borçlanma araçları, TCMB likidite senetleri ve Borsa yönetim Kurulu tarafından işlem görmesine izin verilen diğer sermaye piyasası araçları işlem görürler. İşlemler hafta içi her gün 09.15 ile 17.00 arasında yapılır. Emirler Yatırım Kuruluşu temsilcileri tarafından Otomatik Tahvil Alım-Satım Sistemi (OTASS) terminalleri/BAPAPI kanalıyla ilgili pazarlara iletilirler.</w:t>
      </w:r>
    </w:p>
    <w:p w14:paraId="020FD50E"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lastRenderedPageBreak/>
        <w:t xml:space="preserve">Borçlanma araçları Piyasasında, T.C. Hazine Müsteşarlığı tarafından Piyasa Yapıcı olarak belirlenen kuruluşlar piyasanın işleyiş kuralları çerçevesinde T.C. Hazine Müsteşarlığı tarafından belirlenen tüm ölçüt ihraçlar için piyasa yapıcı kotasyonu girebilirler. </w:t>
      </w:r>
    </w:p>
    <w:p w14:paraId="346D3CFF"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 xml:space="preserve">Piyasa Yapıcılığı Sistemi </w:t>
      </w:r>
    </w:p>
    <w:p w14:paraId="5DC9E458"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Borçlanma Araçları Piyasası Kesin Alım Satım Pazarı bünyesinde devlet iç borçlanma senetleri piyasa yapıcılığı sistemi ve özel sektör borçlanma araçları piyasa yapıcılığı sistemi olmak üzere iki farklı piyasa yapıcılığı sistemi uygulanır.</w:t>
      </w:r>
    </w:p>
    <w:p w14:paraId="2549EF6B"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Devlet iç borçlanma senetleri piyasa yapıcılığı sisteminin esasları ve piyasa yapıcısı kuruluşlar Hazine Müsteşarlığı tarafından belirlenir. Piyasa yapıcısı kuruluşlar Borsanın işleyiş kurallarına uyarak, çift taraflı kotasyon vermek zorunda oldukları ölçüt ihraçlar için piyasa yapıcısı kotasyonu girerler. Piyasa yapıcısı kuruluşların, Hazine Müsteşarlığı tarafından belirlenen çift taraflı kotasyon yükümlülükleri Borsa tarafından takip edilir ve ihlal gerçekleşmesi halinde Hazine Müsteşarlığına ve ihlali gerçekleştiren kuruluşa bildirim yapılır.</w:t>
      </w:r>
    </w:p>
    <w:p w14:paraId="2072A17B" w14:textId="77777777" w:rsidR="00636E11" w:rsidRPr="00BC4205" w:rsidRDefault="00636E11" w:rsidP="00636E11">
      <w:pPr>
        <w:spacing w:before="120" w:after="0" w:line="240" w:lineRule="auto"/>
        <w:ind w:right="50"/>
        <w:jc w:val="both"/>
        <w:rPr>
          <w:rFonts w:cs="Calibri"/>
          <w:color w:val="262626" w:themeColor="text1" w:themeTint="D9"/>
        </w:rPr>
      </w:pPr>
      <w:r w:rsidRPr="00BC4205">
        <w:rPr>
          <w:rFonts w:cs="Calibri"/>
          <w:color w:val="262626" w:themeColor="text1" w:themeTint="D9"/>
        </w:rPr>
        <w:t>Borçlanma Araçları Piyasasında işlem gören tüm özel sektör borçlanma araçları ve kira sertifikaları için piyasa yapıcılığı sistemi uygulanabilir. Bir yatırım kuruluşunun piyasa yapıcılığı menkul kıymetin vadesi boyunca devam eder. Piyasa yapıcısı kuruluşlar, piyasa yapıcısı oldukları menkul kıymetlerde saat 10:00-12:00 ve 13:30- 15:00 saatleri arasında ertesi gün valörlü, çift taraflı kotasyon vermek zorundadırlar. Piyasa yapıcısı kuruluş 5 işlem günü öncesinden Borsaya yazılı olarak bildirmesi şartıyla menkul kıymet bazında piyasa yapıcılığından çekilebilir.</w:t>
      </w:r>
    </w:p>
    <w:p w14:paraId="68A9BBB4" w14:textId="77777777" w:rsidR="00636E11" w:rsidRPr="00BC4205" w:rsidRDefault="00636E11" w:rsidP="00636E11">
      <w:pPr>
        <w:pStyle w:val="Default"/>
        <w:numPr>
          <w:ilvl w:val="2"/>
          <w:numId w:val="16"/>
        </w:numPr>
        <w:tabs>
          <w:tab w:val="left" w:pos="284"/>
        </w:tabs>
        <w:spacing w:before="120"/>
        <w:ind w:left="0" w:right="50" w:firstLine="0"/>
        <w:jc w:val="both"/>
        <w:rPr>
          <w:b/>
          <w:bCs/>
          <w:color w:val="262626" w:themeColor="text1" w:themeTint="D9"/>
          <w:sz w:val="22"/>
          <w:szCs w:val="22"/>
        </w:rPr>
      </w:pPr>
      <w:r w:rsidRPr="00BC4205">
        <w:rPr>
          <w:b/>
          <w:bCs/>
          <w:color w:val="262626" w:themeColor="text1" w:themeTint="D9"/>
          <w:sz w:val="22"/>
          <w:szCs w:val="22"/>
        </w:rPr>
        <w:t>Hazine Bonosu/ Kuponsuz Devlet Tahvili</w:t>
      </w:r>
    </w:p>
    <w:p w14:paraId="5292E84B" w14:textId="77777777" w:rsidR="00636E11" w:rsidRPr="00BC4205" w:rsidRDefault="00636E11" w:rsidP="00636E11">
      <w:pPr>
        <w:pStyle w:val="Default"/>
        <w:tabs>
          <w:tab w:val="left" w:pos="426"/>
        </w:tabs>
        <w:spacing w:before="120"/>
        <w:ind w:right="50"/>
        <w:jc w:val="both"/>
        <w:rPr>
          <w:color w:val="262626" w:themeColor="text1" w:themeTint="D9"/>
          <w:sz w:val="22"/>
          <w:szCs w:val="22"/>
        </w:rPr>
      </w:pPr>
      <w:r w:rsidRPr="00BC4205">
        <w:rPr>
          <w:color w:val="262626" w:themeColor="text1" w:themeTint="D9"/>
          <w:sz w:val="22"/>
          <w:szCs w:val="22"/>
        </w:rPr>
        <w:t xml:space="preserve">Hazine bonolarının vadeleri 1 yıldan kısadır. Devlet tahvilinin ise vadesi 1 yıldan uzundur. Anapara ve faizi vade sonunda ödenir. Vade sonuna kadar beklenirse getirisi sabittir. Vade sonu elde edilen tutara nominal değer denir. Vadeden önce alım satımı mümkündür (likittir). Faiz oranı ile bononun değeri (fiyatı) ters orantılıdır. Faiz düşerse kâr ettirir. Birincil piyasada ihale ile satılır. İkincil piyasada BIST Tahvil Bono Piyasasında alınıp satılabilir. TL ya da USD, EUR cinsi olabilir. Vadeden önce satılırsa kâr üzerinden, vade sonu beklenirse faiz tutarı üzerinden %10 stopaj ödenir (Tam Mükellef gerçek kişi). Vade sonu beklendiğinde getiri sabittir. Ama vade sonu beklenmeden satılırsa, faiz oranı ile fiyat ters orantılıdır. </w:t>
      </w:r>
    </w:p>
    <w:p w14:paraId="68E66168"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Riskler: </w:t>
      </w:r>
      <w:r w:rsidRPr="00BC4205">
        <w:rPr>
          <w:color w:val="262626" w:themeColor="text1" w:themeTint="D9"/>
          <w:sz w:val="22"/>
          <w:szCs w:val="22"/>
        </w:rPr>
        <w:t xml:space="preserve">Vadeden önce satıldığında faizler yükselmişse anaparadan zarar etme olasılığı vardır. Devletin itfayı erteleme veya kıymetin itfa olmaması durumunda Yatırım Kuruluşu’nun sorumluluğu yoktur. </w:t>
      </w:r>
    </w:p>
    <w:p w14:paraId="6933BCA7"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Faydaları: </w:t>
      </w:r>
      <w:r w:rsidRPr="00BC4205">
        <w:rPr>
          <w:color w:val="262626" w:themeColor="text1" w:themeTint="D9"/>
          <w:sz w:val="22"/>
          <w:szCs w:val="22"/>
        </w:rPr>
        <w:t xml:space="preserve">Sabit getiri elde etme, güvenli yatırım, vadeyi beklemeden satabilme (Likit olması), vadeyi beklemeden satıp kâr edebilme olanağı, mevduat faizine göre daha düşük stopaj ödeme avantajı. </w:t>
      </w:r>
    </w:p>
    <w:p w14:paraId="00D945C3"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Uygun Müşteri Profili: </w:t>
      </w:r>
      <w:r w:rsidRPr="00BC4205">
        <w:rPr>
          <w:color w:val="262626" w:themeColor="text1" w:themeTint="D9"/>
          <w:sz w:val="22"/>
          <w:szCs w:val="22"/>
        </w:rPr>
        <w:t xml:space="preserve">Orta ve uzun vadede yatırım yapmak isteyen, risk almak istemeyen, sabit getiri elde etmek isteyen, al sat yaparak para kazanmak isteyen müşteriler. </w:t>
      </w:r>
    </w:p>
    <w:p w14:paraId="2A55FD51"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Uygun Piyasa Koşulları: </w:t>
      </w:r>
      <w:r w:rsidRPr="00BC4205">
        <w:rPr>
          <w:color w:val="262626" w:themeColor="text1" w:themeTint="D9"/>
          <w:sz w:val="22"/>
          <w:szCs w:val="22"/>
        </w:rPr>
        <w:t xml:space="preserve">Olumlu ekonomik beklentilerin olduğu ortam, faizlerin düşmesinin beklendiği ortam, TCMB’nin faizleri düşürmesinin beklendiği ortam. </w:t>
      </w:r>
    </w:p>
    <w:p w14:paraId="3FE3DE19" w14:textId="77777777" w:rsidR="00636E11" w:rsidRPr="00BC4205" w:rsidRDefault="00636E11" w:rsidP="00636E11">
      <w:pPr>
        <w:pStyle w:val="Default"/>
        <w:numPr>
          <w:ilvl w:val="2"/>
          <w:numId w:val="16"/>
        </w:numPr>
        <w:tabs>
          <w:tab w:val="left" w:pos="284"/>
        </w:tabs>
        <w:spacing w:before="120"/>
        <w:ind w:left="0" w:right="50" w:firstLine="0"/>
        <w:jc w:val="both"/>
        <w:rPr>
          <w:b/>
          <w:bCs/>
          <w:color w:val="262626" w:themeColor="text1" w:themeTint="D9"/>
          <w:sz w:val="22"/>
          <w:szCs w:val="22"/>
        </w:rPr>
      </w:pPr>
      <w:r w:rsidRPr="00BC4205">
        <w:rPr>
          <w:b/>
          <w:bCs/>
          <w:color w:val="262626" w:themeColor="text1" w:themeTint="D9"/>
          <w:sz w:val="22"/>
          <w:szCs w:val="22"/>
        </w:rPr>
        <w:t>Kuponlu Devlet Tahvili</w:t>
      </w:r>
    </w:p>
    <w:p w14:paraId="23CC49FA" w14:textId="77777777" w:rsidR="00636E11" w:rsidRPr="00BC4205" w:rsidRDefault="00636E11" w:rsidP="00636E11">
      <w:pPr>
        <w:pStyle w:val="Default"/>
        <w:tabs>
          <w:tab w:val="left" w:pos="426"/>
        </w:tabs>
        <w:spacing w:before="120"/>
        <w:ind w:right="50"/>
        <w:jc w:val="both"/>
        <w:rPr>
          <w:color w:val="262626" w:themeColor="text1" w:themeTint="D9"/>
          <w:sz w:val="22"/>
          <w:szCs w:val="22"/>
        </w:rPr>
      </w:pPr>
      <w:r w:rsidRPr="00BC4205">
        <w:rPr>
          <w:color w:val="262626" w:themeColor="text1" w:themeTint="D9"/>
          <w:sz w:val="22"/>
          <w:szCs w:val="22"/>
        </w:rPr>
        <w:t xml:space="preserve">Belirli dönemlerde kupon ödemesi yapar. Anaparayı vade sonunda öder. Kupon faizi sabit ya da değişken olabilir. Vade sonu elde edilen anaparaya Nominal Değer denir. Vadeden önce alım satımı mümkündür (Likittir). Faiz oranı ile tahvilin değeri (fiyatı ) ters orantılıdır. Birincil piyasada ihale ile satılır. İkincil piyasada BIST Kesin Alım Satım Pazarında alınıp satılabilir. TL ya da USD, EURO cinsi olabilir. Vadeden önce satılırsa kâr üzerinden, vade beklenirse kupon tutarı üzerinden %10 stopaj ödenir. (Tam mükellef gerçek kişi için) Kupon faizi sabit ya da değişken olabilir. Sabit kuponlu tahvilde kupon faizi ilk ihraçta belirlenir, tahvilin vadesine kadar bir daha değişmez. Değişken kupon faizli tahvilde kupon faizinin neye göre belirleneceği, ilk ihraçta açıklanır. </w:t>
      </w:r>
    </w:p>
    <w:p w14:paraId="6F3EB25E"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lastRenderedPageBreak/>
        <w:t xml:space="preserve">Riskleri: </w:t>
      </w:r>
      <w:r w:rsidRPr="00BC4205">
        <w:rPr>
          <w:color w:val="262626" w:themeColor="text1" w:themeTint="D9"/>
          <w:sz w:val="22"/>
          <w:szCs w:val="22"/>
        </w:rPr>
        <w:t xml:space="preserve">Vadeden önce satıldığında faizler yükselmişse anaparadan zarar etme olasılığı vardır. Devletin itfayı, kupon ödemelerini erteleme veya kıymetin itfa olmaması durumunda Yatırım Kuruluşu’nun sorumluluğu yoktur. </w:t>
      </w:r>
    </w:p>
    <w:p w14:paraId="534DA2FA"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Faydaları: </w:t>
      </w:r>
      <w:r w:rsidRPr="00BC4205">
        <w:rPr>
          <w:color w:val="262626" w:themeColor="text1" w:themeTint="D9"/>
          <w:sz w:val="22"/>
          <w:szCs w:val="22"/>
        </w:rPr>
        <w:t xml:space="preserve">Uzun dönem sabit getiri elde etme (sabit kuponluda ), güvenli yatırım, vadeyi beklemeden satabilme, vadeyi beklemeden de satıp kar edebilme olanağı, belirli dönemlerde faiz ödemesi elde etme imkânı. </w:t>
      </w:r>
    </w:p>
    <w:p w14:paraId="64724123"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Uygun Müşteri Profili: </w:t>
      </w:r>
      <w:r w:rsidRPr="00BC4205">
        <w:rPr>
          <w:color w:val="262626" w:themeColor="text1" w:themeTint="D9"/>
          <w:sz w:val="22"/>
          <w:szCs w:val="22"/>
        </w:rPr>
        <w:t xml:space="preserve">Uzun vadede yatırım yapmak isteyen, risk almak istemeyen, sabit getiri elde etmek isteyen, al sat yaparak para kazanmak isteyen, belirli dönemlerde faiz ödemesi elde etmek isteyen, </w:t>
      </w:r>
    </w:p>
    <w:p w14:paraId="0E39C046"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Uygun Piyasa Koşulları: </w:t>
      </w:r>
      <w:r w:rsidRPr="00BC4205">
        <w:rPr>
          <w:color w:val="262626" w:themeColor="text1" w:themeTint="D9"/>
          <w:sz w:val="22"/>
          <w:szCs w:val="22"/>
        </w:rPr>
        <w:t xml:space="preserve">Olumlu ekonomik beklentilerin olduğu ortam, Faizlerin düşmesinin beklendiği ortam, TCMB’nin faizleri düşürmesinin beklendiği ortam </w:t>
      </w:r>
    </w:p>
    <w:p w14:paraId="5891E7C3" w14:textId="77777777" w:rsidR="00636E11" w:rsidRPr="00BC4205" w:rsidRDefault="00636E11" w:rsidP="00636E11">
      <w:pPr>
        <w:pStyle w:val="Default"/>
        <w:numPr>
          <w:ilvl w:val="2"/>
          <w:numId w:val="16"/>
        </w:numPr>
        <w:tabs>
          <w:tab w:val="left" w:pos="284"/>
        </w:tabs>
        <w:spacing w:before="120"/>
        <w:ind w:left="0" w:right="50" w:firstLine="0"/>
        <w:jc w:val="both"/>
        <w:rPr>
          <w:b/>
          <w:bCs/>
          <w:color w:val="262626" w:themeColor="text1" w:themeTint="D9"/>
          <w:sz w:val="22"/>
          <w:szCs w:val="22"/>
        </w:rPr>
      </w:pPr>
      <w:proofErr w:type="spellStart"/>
      <w:r w:rsidRPr="00BC4205">
        <w:rPr>
          <w:b/>
          <w:bCs/>
          <w:color w:val="262626" w:themeColor="text1" w:themeTint="D9"/>
          <w:sz w:val="22"/>
          <w:szCs w:val="22"/>
        </w:rPr>
        <w:t>Eurobond</w:t>
      </w:r>
      <w:proofErr w:type="spellEnd"/>
    </w:p>
    <w:p w14:paraId="707515BA" w14:textId="77777777" w:rsidR="00636E11" w:rsidRPr="00BC4205" w:rsidRDefault="00636E11" w:rsidP="00636E11">
      <w:pPr>
        <w:pStyle w:val="Default"/>
        <w:tabs>
          <w:tab w:val="left" w:pos="426"/>
        </w:tabs>
        <w:spacing w:before="120"/>
        <w:ind w:right="50"/>
        <w:jc w:val="both"/>
        <w:rPr>
          <w:color w:val="262626" w:themeColor="text1" w:themeTint="D9"/>
          <w:sz w:val="22"/>
          <w:szCs w:val="22"/>
        </w:rPr>
      </w:pPr>
      <w:proofErr w:type="spellStart"/>
      <w:r w:rsidRPr="00BC4205">
        <w:rPr>
          <w:color w:val="262626" w:themeColor="text1" w:themeTint="D9"/>
          <w:sz w:val="22"/>
          <w:szCs w:val="22"/>
        </w:rPr>
        <w:t>Eurobondların</w:t>
      </w:r>
      <w:proofErr w:type="spellEnd"/>
      <w:r w:rsidRPr="00BC4205">
        <w:rPr>
          <w:color w:val="262626" w:themeColor="text1" w:themeTint="D9"/>
          <w:sz w:val="22"/>
          <w:szCs w:val="22"/>
        </w:rPr>
        <w:t xml:space="preserve"> fiziki teslimi mümkün değildir. Saklaması yurtdışında yapılır. Uluslararası takas saklama bankaları kullanılır. TC </w:t>
      </w:r>
      <w:proofErr w:type="spellStart"/>
      <w:r w:rsidRPr="00BC4205">
        <w:rPr>
          <w:color w:val="262626" w:themeColor="text1" w:themeTint="D9"/>
          <w:sz w:val="22"/>
          <w:szCs w:val="22"/>
        </w:rPr>
        <w:t>Eurobondları</w:t>
      </w:r>
      <w:proofErr w:type="spellEnd"/>
      <w:r w:rsidRPr="00BC4205">
        <w:rPr>
          <w:color w:val="262626" w:themeColor="text1" w:themeTint="D9"/>
          <w:sz w:val="22"/>
          <w:szCs w:val="22"/>
        </w:rPr>
        <w:t xml:space="preserve"> Türkiye Cumhuriyeti Hazinesi tarafından uluslararası piyasada genellikle USD veya EURO cinsinden ihraç edilmektedir. Özel Sektör </w:t>
      </w:r>
      <w:proofErr w:type="spellStart"/>
      <w:r w:rsidRPr="00BC4205">
        <w:rPr>
          <w:color w:val="262626" w:themeColor="text1" w:themeTint="D9"/>
          <w:sz w:val="22"/>
          <w:szCs w:val="22"/>
        </w:rPr>
        <w:t>Eurobondları</w:t>
      </w:r>
      <w:proofErr w:type="spellEnd"/>
      <w:r w:rsidRPr="00BC4205">
        <w:rPr>
          <w:color w:val="262626" w:themeColor="text1" w:themeTint="D9"/>
          <w:sz w:val="22"/>
          <w:szCs w:val="22"/>
        </w:rPr>
        <w:t xml:space="preserve"> ise özel şirketlerin yurtdışında borçlanmak amacıyla ihraç ettiği kıymetlerdir. </w:t>
      </w:r>
      <w:proofErr w:type="spellStart"/>
      <w:r w:rsidRPr="00BC4205">
        <w:rPr>
          <w:color w:val="262626" w:themeColor="text1" w:themeTint="D9"/>
          <w:sz w:val="22"/>
          <w:szCs w:val="22"/>
        </w:rPr>
        <w:t>Eurobondlarda</w:t>
      </w:r>
      <w:proofErr w:type="spellEnd"/>
      <w:r w:rsidRPr="00BC4205">
        <w:rPr>
          <w:color w:val="262626" w:themeColor="text1" w:themeTint="D9"/>
          <w:sz w:val="22"/>
          <w:szCs w:val="22"/>
        </w:rPr>
        <w:t xml:space="preserve"> genelde vade 5-30 yıl arasındadır. Kupon ödemesi =Nominal değer*dönemsel kupon faizidir. USD cinsinden </w:t>
      </w:r>
      <w:proofErr w:type="spellStart"/>
      <w:r w:rsidRPr="00BC4205">
        <w:rPr>
          <w:color w:val="262626" w:themeColor="text1" w:themeTint="D9"/>
          <w:sz w:val="22"/>
          <w:szCs w:val="22"/>
        </w:rPr>
        <w:t>Eurobondlarda</w:t>
      </w:r>
      <w:proofErr w:type="spellEnd"/>
      <w:r w:rsidRPr="00BC4205">
        <w:rPr>
          <w:color w:val="262626" w:themeColor="text1" w:themeTint="D9"/>
          <w:sz w:val="22"/>
          <w:szCs w:val="22"/>
        </w:rPr>
        <w:t xml:space="preserve"> kupon ödemesi 6 ayda bir, Euro cinsi </w:t>
      </w:r>
      <w:proofErr w:type="spellStart"/>
      <w:r w:rsidRPr="00BC4205">
        <w:rPr>
          <w:color w:val="262626" w:themeColor="text1" w:themeTint="D9"/>
          <w:sz w:val="22"/>
          <w:szCs w:val="22"/>
        </w:rPr>
        <w:t>Eurobondlarda</w:t>
      </w:r>
      <w:proofErr w:type="spellEnd"/>
      <w:r w:rsidRPr="00BC4205">
        <w:rPr>
          <w:color w:val="262626" w:themeColor="text1" w:themeTint="D9"/>
          <w:sz w:val="22"/>
          <w:szCs w:val="22"/>
        </w:rPr>
        <w:t xml:space="preserve"> ise yılda 1’dir. Kupon faizi yıllık basit faizdir. </w:t>
      </w:r>
      <w:proofErr w:type="spellStart"/>
      <w:r w:rsidRPr="00BC4205">
        <w:rPr>
          <w:color w:val="262626" w:themeColor="text1" w:themeTint="D9"/>
          <w:sz w:val="22"/>
          <w:szCs w:val="22"/>
        </w:rPr>
        <w:t>Eurobondlar</w:t>
      </w:r>
      <w:proofErr w:type="spellEnd"/>
      <w:r w:rsidRPr="00BC4205">
        <w:rPr>
          <w:color w:val="262626" w:themeColor="text1" w:themeTint="D9"/>
          <w:sz w:val="22"/>
          <w:szCs w:val="22"/>
        </w:rPr>
        <w:t xml:space="preserve"> </w:t>
      </w:r>
      <w:proofErr w:type="spellStart"/>
      <w:r w:rsidRPr="00BC4205">
        <w:rPr>
          <w:color w:val="262626" w:themeColor="text1" w:themeTint="D9"/>
          <w:sz w:val="22"/>
          <w:szCs w:val="22"/>
        </w:rPr>
        <w:t>Clean</w:t>
      </w:r>
      <w:proofErr w:type="spellEnd"/>
      <w:r w:rsidRPr="00BC4205">
        <w:rPr>
          <w:color w:val="262626" w:themeColor="text1" w:themeTint="D9"/>
          <w:sz w:val="22"/>
          <w:szCs w:val="22"/>
        </w:rPr>
        <w:t xml:space="preserve"> </w:t>
      </w:r>
      <w:proofErr w:type="spellStart"/>
      <w:r w:rsidRPr="00BC4205">
        <w:rPr>
          <w:color w:val="262626" w:themeColor="text1" w:themeTint="D9"/>
          <w:sz w:val="22"/>
          <w:szCs w:val="22"/>
        </w:rPr>
        <w:t>Price</w:t>
      </w:r>
      <w:proofErr w:type="spellEnd"/>
      <w:r w:rsidRPr="00BC4205">
        <w:rPr>
          <w:color w:val="262626" w:themeColor="text1" w:themeTint="D9"/>
          <w:sz w:val="22"/>
          <w:szCs w:val="22"/>
        </w:rPr>
        <w:t xml:space="preserve"> (temiz Fiyat) denilen işlemiş kupon faizi hariç bir fiyattan alınıp satılır, işlemiş kupon faizi (birikmiş faiz) sonradan bu fiyatın üzerinde eklenir. Stopaja tabi değildir. Kupon faizleri belli bir rakamı aşarsa vergi beyanına tabidir. </w:t>
      </w:r>
    </w:p>
    <w:p w14:paraId="56CF845E"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Riskleri: </w:t>
      </w:r>
      <w:proofErr w:type="spellStart"/>
      <w:r w:rsidRPr="00BC4205">
        <w:rPr>
          <w:color w:val="262626" w:themeColor="text1" w:themeTint="D9"/>
          <w:sz w:val="22"/>
          <w:szCs w:val="22"/>
        </w:rPr>
        <w:t>Eurobondlar</w:t>
      </w:r>
      <w:proofErr w:type="spellEnd"/>
      <w:r w:rsidRPr="00BC4205">
        <w:rPr>
          <w:color w:val="262626" w:themeColor="text1" w:themeTint="D9"/>
          <w:sz w:val="22"/>
          <w:szCs w:val="22"/>
        </w:rPr>
        <w:t xml:space="preserve"> faizlerin yükselmesi ile değer kaybederek yatırımcının anaparasından kayıplara neden olabilir. </w:t>
      </w:r>
      <w:proofErr w:type="spellStart"/>
      <w:r w:rsidRPr="00BC4205">
        <w:rPr>
          <w:color w:val="262626" w:themeColor="text1" w:themeTint="D9"/>
          <w:sz w:val="22"/>
          <w:szCs w:val="22"/>
        </w:rPr>
        <w:t>Eurobondlar</w:t>
      </w:r>
      <w:proofErr w:type="spellEnd"/>
      <w:r w:rsidRPr="00BC4205">
        <w:rPr>
          <w:color w:val="262626" w:themeColor="text1" w:themeTint="D9"/>
          <w:sz w:val="22"/>
          <w:szCs w:val="22"/>
        </w:rPr>
        <w:t xml:space="preserve"> genellikle T+3 valörde işlem görmekte, yani Müşteri’nin yaptığı anlaşma 3 gün sonra anlaşma fiyatından gerçekleşmektedir. </w:t>
      </w:r>
      <w:proofErr w:type="spellStart"/>
      <w:r w:rsidRPr="00BC4205">
        <w:rPr>
          <w:color w:val="262626" w:themeColor="text1" w:themeTint="D9"/>
          <w:sz w:val="22"/>
          <w:szCs w:val="22"/>
        </w:rPr>
        <w:t>Eurobondlar</w:t>
      </w:r>
      <w:proofErr w:type="spellEnd"/>
      <w:r w:rsidRPr="00BC4205">
        <w:rPr>
          <w:color w:val="262626" w:themeColor="text1" w:themeTint="D9"/>
          <w:sz w:val="22"/>
          <w:szCs w:val="22"/>
        </w:rPr>
        <w:t xml:space="preserve"> genellikle organize olmayan piyasalarda işlem görmektedir. Bunun ile birlikte alınmak ya da satılmak istenen </w:t>
      </w:r>
      <w:proofErr w:type="spellStart"/>
      <w:r w:rsidRPr="00BC4205">
        <w:rPr>
          <w:color w:val="262626" w:themeColor="text1" w:themeTint="D9"/>
          <w:sz w:val="22"/>
          <w:szCs w:val="22"/>
        </w:rPr>
        <w:t>eurobondlara</w:t>
      </w:r>
      <w:proofErr w:type="spellEnd"/>
      <w:r w:rsidRPr="00BC4205">
        <w:rPr>
          <w:color w:val="262626" w:themeColor="text1" w:themeTint="D9"/>
          <w:sz w:val="22"/>
          <w:szCs w:val="22"/>
        </w:rPr>
        <w:t xml:space="preserve"> fiyat bulunamayabilir. İhraççı kuruluşun itfayı, kupon ödemelerini erteleme veya kıymetin itfa olmaması durumunda Yatırım Kuruluşu’nun sorumluluğu yoktur. Özel sektör </w:t>
      </w:r>
      <w:proofErr w:type="spellStart"/>
      <w:r w:rsidRPr="00BC4205">
        <w:rPr>
          <w:color w:val="262626" w:themeColor="text1" w:themeTint="D9"/>
          <w:sz w:val="22"/>
          <w:szCs w:val="22"/>
        </w:rPr>
        <w:t>eurobondlarında</w:t>
      </w:r>
      <w:proofErr w:type="spellEnd"/>
      <w:r w:rsidRPr="00BC4205">
        <w:rPr>
          <w:color w:val="262626" w:themeColor="text1" w:themeTint="D9"/>
          <w:sz w:val="22"/>
          <w:szCs w:val="22"/>
        </w:rPr>
        <w:t xml:space="preserve"> şirketin iflas etme, faiz ya da anaparayı ödeyememe riski bulunmaktadır. TC Hazine </w:t>
      </w:r>
      <w:proofErr w:type="spellStart"/>
      <w:r w:rsidRPr="00BC4205">
        <w:rPr>
          <w:color w:val="262626" w:themeColor="text1" w:themeTint="D9"/>
          <w:sz w:val="22"/>
          <w:szCs w:val="22"/>
        </w:rPr>
        <w:t>eurobondlarında</w:t>
      </w:r>
      <w:proofErr w:type="spellEnd"/>
      <w:r w:rsidRPr="00BC4205">
        <w:rPr>
          <w:color w:val="262626" w:themeColor="text1" w:themeTint="D9"/>
          <w:sz w:val="22"/>
          <w:szCs w:val="22"/>
        </w:rPr>
        <w:t xml:space="preserve"> ise faiz ya da anaparayı ödeyememe riski nispeten düşük olsa da mevcuttur. </w:t>
      </w:r>
    </w:p>
    <w:p w14:paraId="7215F777"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Faydaları: </w:t>
      </w:r>
      <w:r w:rsidRPr="00BC4205">
        <w:rPr>
          <w:color w:val="262626" w:themeColor="text1" w:themeTint="D9"/>
          <w:sz w:val="22"/>
          <w:szCs w:val="22"/>
        </w:rPr>
        <w:t xml:space="preserve">Sabit getiri elde etme, güvenli yatırım, vadeyi beklemeden satabilme (Likit olması), Vadeyi beklemeden de satıp kâr edebilme olanağı, belirli dönemlerde faiz ödemesi elde etme imkânı, yabancı para cinsinden yatırım yapma, vergisel avantaj. </w:t>
      </w:r>
    </w:p>
    <w:p w14:paraId="4FC390F5"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Uygun Müşteri Profili: </w:t>
      </w:r>
      <w:r w:rsidRPr="00BC4205">
        <w:rPr>
          <w:color w:val="262626" w:themeColor="text1" w:themeTint="D9"/>
          <w:sz w:val="22"/>
          <w:szCs w:val="22"/>
        </w:rPr>
        <w:t xml:space="preserve">Uzun vadede yatırım yapmak isteyen, risk almak istemeyen, sabit getiri elde etmek isteyen, Al sat yaparak para kazanmak isteyen, belirli dönemlerde faiz ödemesi elde etmek isteyen, yabancı para cinsinden yatırım yapmak isteyen, kur riskini göze alabilen </w:t>
      </w:r>
    </w:p>
    <w:p w14:paraId="1C9CE33E"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Uygun Piyasa Koşulları: </w:t>
      </w:r>
      <w:r w:rsidRPr="00BC4205">
        <w:rPr>
          <w:color w:val="262626" w:themeColor="text1" w:themeTint="D9"/>
          <w:sz w:val="22"/>
          <w:szCs w:val="22"/>
        </w:rPr>
        <w:t xml:space="preserve">Olumlu ekonomik beklentilerin olduğu ortam, faizlerin düşmesinin beklendiği ortam, TCMB’nin faizleri düşürmesinin beklendiği ortam, yurtdışı piyasalarının olumlu gelişmelere maruz kaldığı ortam, ülkenin kredibilitesinin arttığı ortam, uzun vadeli istikrarın sağlandığı ortam. </w:t>
      </w:r>
    </w:p>
    <w:p w14:paraId="60F5CAF8" w14:textId="77777777" w:rsidR="00636E11" w:rsidRPr="00BC4205" w:rsidRDefault="00636E11" w:rsidP="00636E11">
      <w:pPr>
        <w:pStyle w:val="Default"/>
        <w:numPr>
          <w:ilvl w:val="2"/>
          <w:numId w:val="16"/>
        </w:numPr>
        <w:tabs>
          <w:tab w:val="left" w:pos="284"/>
        </w:tabs>
        <w:spacing w:before="120"/>
        <w:ind w:left="0" w:right="50" w:firstLine="0"/>
        <w:jc w:val="both"/>
        <w:rPr>
          <w:b/>
          <w:bCs/>
          <w:color w:val="262626" w:themeColor="text1" w:themeTint="D9"/>
          <w:sz w:val="22"/>
          <w:szCs w:val="22"/>
        </w:rPr>
      </w:pPr>
      <w:r w:rsidRPr="00BC4205">
        <w:rPr>
          <w:b/>
          <w:bCs/>
          <w:color w:val="262626" w:themeColor="text1" w:themeTint="D9"/>
          <w:sz w:val="22"/>
          <w:szCs w:val="22"/>
        </w:rPr>
        <w:t>Özel Sektör Bonosu &amp; Tahvili</w:t>
      </w:r>
    </w:p>
    <w:p w14:paraId="5078664F" w14:textId="77777777" w:rsidR="00636E11" w:rsidRPr="00BC4205" w:rsidRDefault="00636E11" w:rsidP="00636E11">
      <w:pPr>
        <w:pStyle w:val="Default"/>
        <w:tabs>
          <w:tab w:val="left" w:pos="426"/>
        </w:tabs>
        <w:spacing w:before="120"/>
        <w:ind w:right="50"/>
        <w:jc w:val="both"/>
        <w:rPr>
          <w:color w:val="262626" w:themeColor="text1" w:themeTint="D9"/>
          <w:sz w:val="22"/>
          <w:szCs w:val="22"/>
        </w:rPr>
      </w:pPr>
      <w:r w:rsidRPr="00BC4205">
        <w:rPr>
          <w:color w:val="262626" w:themeColor="text1" w:themeTint="D9"/>
          <w:sz w:val="22"/>
          <w:szCs w:val="22"/>
        </w:rPr>
        <w:t xml:space="preserve">Özel Sektör bonoları &amp; tahvilleri, mevduat ve hazine bonosu devlet tahvillerine kıyasla daha yüksek getiri imkânı sunabilmektedir. Vadeli mevduat hesaplarında %15 olarak kesilen stopaj, TL cinsi Özel Sektör Bonolarında %10 olarak uygulamaktadır. BIST Kesin Alım Satım Pazarına </w:t>
      </w:r>
      <w:proofErr w:type="spellStart"/>
      <w:r w:rsidRPr="00BC4205">
        <w:rPr>
          <w:color w:val="262626" w:themeColor="text1" w:themeTint="D9"/>
          <w:sz w:val="22"/>
          <w:szCs w:val="22"/>
        </w:rPr>
        <w:t>kote</w:t>
      </w:r>
      <w:proofErr w:type="spellEnd"/>
      <w:r w:rsidRPr="00BC4205">
        <w:rPr>
          <w:color w:val="262626" w:themeColor="text1" w:themeTint="D9"/>
          <w:sz w:val="22"/>
          <w:szCs w:val="22"/>
        </w:rPr>
        <w:t xml:space="preserve"> olduğundan, ikinci el piyasa işlemleri aracılığıyla likidite imkânı bulunmaktadır. Yatırımcılar ihtiyaçları doğrultusunda, dilerlerse vadeden önce özel sektör bonolarını tamamen ya da kısmen nakde çevrilebilir. </w:t>
      </w:r>
    </w:p>
    <w:p w14:paraId="35F9B2DA"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Riskleri: </w:t>
      </w:r>
      <w:r w:rsidRPr="00BC4205">
        <w:rPr>
          <w:color w:val="262626" w:themeColor="text1" w:themeTint="D9"/>
          <w:sz w:val="22"/>
          <w:szCs w:val="22"/>
        </w:rPr>
        <w:t xml:space="preserve">Özel sektör tahvil ve bonolarının vadeli mevduattan en büyük farkı “Tasarruf Mevduatı Sigorta Fonu” sigortası kapsamında olmamasıdır. Yatırımcılar ihraççı kuruluş riskini almaktadır. Piyasadaki </w:t>
      </w:r>
      <w:r w:rsidRPr="00BC4205">
        <w:rPr>
          <w:color w:val="262626" w:themeColor="text1" w:themeTint="D9"/>
          <w:sz w:val="22"/>
          <w:szCs w:val="22"/>
        </w:rPr>
        <w:lastRenderedPageBreak/>
        <w:t xml:space="preserve">fiyat hareketleri, ihraççının ödeme güçlüğüne düşmesi veya iflası vb. haller için yatırım kuruluşu garantisi veya yatırımcı tazmin sistemi bulunmamaktadır. İhraççı kuruluşun itfayı, kupon ödemelerini erteleme veya kıymetin itfa olmaması durumunda Yatırım Kuruluşu’nun sorumluluğu yoktur. Özel sektör ve/veya tahvilinin vadesinden önce satılması durumunda söz konusu bono ve/veya tahvilin piyasa değeri piyasa faizleri değişiminden doğrudan etkileneceğinden, piyasa faiz oranları yükseldiğinde bononun değeri azalırken, faiz oranları düştüğünde ise bononun piyasa değeri artacaktır. Özel sektör kıymetleri hazine bonosu/devlet tahvillerine göre daha az likittir. Kıymet likidite edilmek istendiğinde aynı gün satılamayabilir. </w:t>
      </w:r>
    </w:p>
    <w:p w14:paraId="474F19FB"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Uygun Müşteri Profili: </w:t>
      </w:r>
      <w:r w:rsidRPr="00BC4205">
        <w:rPr>
          <w:color w:val="262626" w:themeColor="text1" w:themeTint="D9"/>
          <w:sz w:val="22"/>
          <w:szCs w:val="22"/>
        </w:rPr>
        <w:t xml:space="preserve">Orta ve uzun vadede yatırım yapmak isteyen, risk almak istemeyen, sabit getiri elde etmek isteyen, al sat yaparak para kazanmak isteyen, alternatif yatırım aracına yatırım yapmak isteyenler. </w:t>
      </w:r>
    </w:p>
    <w:p w14:paraId="40A48248"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Uygun Piyasa Koşulları: </w:t>
      </w:r>
      <w:r w:rsidRPr="00BC4205">
        <w:rPr>
          <w:color w:val="262626" w:themeColor="text1" w:themeTint="D9"/>
          <w:sz w:val="22"/>
          <w:szCs w:val="22"/>
        </w:rPr>
        <w:t xml:space="preserve">Olumlu ekonomik beklentilerin olduğu ortam, faizlerin düşmesinin beklendiği ortam, TCMB’nin faizleri düşürmesinin beklendiği ortam. </w:t>
      </w:r>
    </w:p>
    <w:p w14:paraId="0226E4AB" w14:textId="77777777" w:rsidR="00636E11" w:rsidRPr="00BC4205" w:rsidRDefault="00636E11" w:rsidP="00636E11">
      <w:pPr>
        <w:pStyle w:val="Default"/>
        <w:numPr>
          <w:ilvl w:val="2"/>
          <w:numId w:val="16"/>
        </w:numPr>
        <w:tabs>
          <w:tab w:val="left" w:pos="284"/>
        </w:tabs>
        <w:spacing w:before="120"/>
        <w:ind w:left="0" w:right="50" w:firstLine="0"/>
        <w:jc w:val="both"/>
        <w:rPr>
          <w:color w:val="262626" w:themeColor="text1" w:themeTint="D9"/>
          <w:sz w:val="22"/>
          <w:szCs w:val="22"/>
        </w:rPr>
      </w:pPr>
      <w:r w:rsidRPr="00BC4205">
        <w:rPr>
          <w:b/>
          <w:bCs/>
          <w:color w:val="262626" w:themeColor="text1" w:themeTint="D9"/>
          <w:sz w:val="22"/>
          <w:szCs w:val="22"/>
        </w:rPr>
        <w:t>Repo/Ters Repo İşlemleri</w:t>
      </w:r>
    </w:p>
    <w:p w14:paraId="291F25CD" w14:textId="77777777" w:rsidR="00636E11" w:rsidRPr="00BC4205" w:rsidRDefault="00636E11" w:rsidP="00636E11">
      <w:pPr>
        <w:pStyle w:val="Default"/>
        <w:tabs>
          <w:tab w:val="left" w:pos="426"/>
        </w:tabs>
        <w:spacing w:before="120"/>
        <w:ind w:right="50"/>
        <w:jc w:val="both"/>
        <w:rPr>
          <w:color w:val="262626" w:themeColor="text1" w:themeTint="D9"/>
          <w:sz w:val="22"/>
          <w:szCs w:val="22"/>
        </w:rPr>
      </w:pPr>
      <w:r w:rsidRPr="00BC4205">
        <w:rPr>
          <w:color w:val="262626" w:themeColor="text1" w:themeTint="D9"/>
          <w:sz w:val="22"/>
          <w:szCs w:val="22"/>
        </w:rPr>
        <w:t xml:space="preserve">Repo-Ters Repo, menkul kıymetin geri alım vaadi ile satılması ve geri satım vaadiyle alınmasıdır. İşlemler, Borsanın Borçlanma Araçları Piyasası, Repo-ters Repo Pazarı’nda müşteri adına gerçekleştirilir ve işlemlerin takası Takasbank aracılığıyla gerçekleştirilir. Ters Repo işleminde alınan menkul kıymetler Takasbank’ta blokeli hesaplarda vade sonuna kadar müşteri adına saklanır. Vade sonunda Müşteri </w:t>
      </w:r>
      <w:proofErr w:type="spellStart"/>
      <w:r w:rsidRPr="00BC4205">
        <w:rPr>
          <w:color w:val="262626" w:themeColor="text1" w:themeTint="D9"/>
          <w:sz w:val="22"/>
          <w:szCs w:val="22"/>
        </w:rPr>
        <w:t>Hesapları’na</w:t>
      </w:r>
      <w:proofErr w:type="spellEnd"/>
      <w:r w:rsidRPr="00BC4205">
        <w:rPr>
          <w:color w:val="262626" w:themeColor="text1" w:themeTint="D9"/>
          <w:sz w:val="22"/>
          <w:szCs w:val="22"/>
        </w:rPr>
        <w:t xml:space="preserve"> anapara ve faizi transfer edilir. Repo faizi karşılık gösterilen menkul kıymetin faizinden farklı olabilir. Repo dolayısı ile kazanılan faiz geliri üzerinden %15 vergi ödenir. Diğer menkul kıymetler gibi piyasa faizlerinin yükselmesi ya da düşmesi ile reponun güncel fiyatı değişmez. Reponun vadesinden önce bozulması durumunda müşteri anaparasını alırken faiz ödemesi alamamaktadır. </w:t>
      </w:r>
    </w:p>
    <w:p w14:paraId="2AF9ED5D"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Riskleri: </w:t>
      </w:r>
      <w:r w:rsidRPr="00BC4205">
        <w:rPr>
          <w:color w:val="262626" w:themeColor="text1" w:themeTint="D9"/>
          <w:sz w:val="22"/>
          <w:szCs w:val="22"/>
        </w:rPr>
        <w:t xml:space="preserve">Yatırımcı Tasarruf Mevduatı Sigorta Fonu’nun sigortası dâhilinde değildir. Ancak repo işlemi yaptığında yatırım kuruluşu yatırımcı adına yatırım miktarı kadar menkul kıymet saklamaktadır. Bu nedenle risk minimumdur. </w:t>
      </w:r>
    </w:p>
    <w:p w14:paraId="5113C2A1"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Uygun Müşteri Profili: </w:t>
      </w:r>
      <w:r w:rsidRPr="00BC4205">
        <w:rPr>
          <w:color w:val="262626" w:themeColor="text1" w:themeTint="D9"/>
          <w:sz w:val="22"/>
          <w:szCs w:val="22"/>
        </w:rPr>
        <w:t xml:space="preserve">risk almak istemeyen, kısa vadeli yatırım yapmak isteyen, piyasa şartlarından etkilenmek istemeyenlerdir. </w:t>
      </w:r>
    </w:p>
    <w:p w14:paraId="7E1E7D04" w14:textId="77777777" w:rsidR="00636E11" w:rsidRPr="00BC4205" w:rsidRDefault="00636E11" w:rsidP="00636E11">
      <w:pPr>
        <w:pStyle w:val="Default"/>
        <w:spacing w:before="120"/>
        <w:ind w:right="50"/>
        <w:jc w:val="both"/>
        <w:rPr>
          <w:color w:val="262626" w:themeColor="text1" w:themeTint="D9"/>
          <w:sz w:val="22"/>
          <w:szCs w:val="22"/>
        </w:rPr>
      </w:pPr>
      <w:r w:rsidRPr="00BC4205">
        <w:rPr>
          <w:b/>
          <w:bCs/>
          <w:color w:val="262626" w:themeColor="text1" w:themeTint="D9"/>
          <w:sz w:val="22"/>
          <w:szCs w:val="22"/>
        </w:rPr>
        <w:t xml:space="preserve">Uygun Piyasa Koşulları: </w:t>
      </w:r>
      <w:r w:rsidRPr="00BC4205">
        <w:rPr>
          <w:color w:val="262626" w:themeColor="text1" w:themeTint="D9"/>
          <w:sz w:val="22"/>
          <w:szCs w:val="22"/>
        </w:rPr>
        <w:t xml:space="preserve">Piyasanın görece daha riskli olduğu, faizlerde yukarı yönlü hareketlerin beklendiği, risk alınmak istenmeyen piyasa koşulları. </w:t>
      </w:r>
    </w:p>
    <w:p w14:paraId="677D3893" w14:textId="77777777" w:rsidR="00636E11" w:rsidRPr="00BC4205" w:rsidRDefault="00636E11" w:rsidP="00636E11">
      <w:pPr>
        <w:shd w:val="clear" w:color="auto" w:fill="FFFFFF"/>
        <w:spacing w:before="120" w:after="0" w:line="240" w:lineRule="auto"/>
        <w:jc w:val="both"/>
        <w:rPr>
          <w:rFonts w:eastAsia="Times New Roman" w:cs="Calibri"/>
          <w:b/>
          <w:caps/>
          <w:color w:val="262626" w:themeColor="text1" w:themeTint="D9"/>
          <w:u w:val="single"/>
          <w:lang w:eastAsia="tr-TR"/>
        </w:rPr>
      </w:pPr>
      <w:r w:rsidRPr="00BC4205">
        <w:rPr>
          <w:rFonts w:eastAsia="Times New Roman" w:cs="Calibri"/>
          <w:b/>
          <w:caps/>
          <w:color w:val="262626" w:themeColor="text1" w:themeTint="D9"/>
          <w:u w:val="single"/>
          <w:lang w:eastAsia="tr-TR"/>
        </w:rPr>
        <w:t>RİSK BİLDİRİMİ</w:t>
      </w:r>
    </w:p>
    <w:p w14:paraId="49F05DBB" w14:textId="77777777" w:rsidR="00636E11" w:rsidRPr="00BC4205" w:rsidRDefault="00636E11" w:rsidP="00636E11">
      <w:pPr>
        <w:pStyle w:val="ListeParagraf"/>
        <w:numPr>
          <w:ilvl w:val="0"/>
          <w:numId w:val="10"/>
        </w:numPr>
        <w:autoSpaceDE w:val="0"/>
        <w:autoSpaceDN w:val="0"/>
        <w:adjustRightInd w:val="0"/>
        <w:spacing w:before="120" w:after="0" w:line="240" w:lineRule="auto"/>
        <w:ind w:left="284" w:right="51" w:hanging="284"/>
        <w:jc w:val="both"/>
        <w:rPr>
          <w:rFonts w:cs="Calibri"/>
          <w:color w:val="262626" w:themeColor="text1" w:themeTint="D9"/>
        </w:rPr>
      </w:pPr>
      <w:r w:rsidRPr="00BC4205">
        <w:rPr>
          <w:rFonts w:cs="Calibri"/>
          <w:color w:val="262626" w:themeColor="text1" w:themeTint="D9"/>
        </w:rPr>
        <w:t xml:space="preserve">Yatırım Kuruluşu nezdinde açtıracağınız hesap ve bu hesap üzerinden Borsa’da gerçekleştirilecek tüm işlemler için Sermaye Piyasası Kurulu, Borsa ve Yetkili Takas ve Saklama Kuruluşu tarafından çıkartılan ilgili her türlü mevzuat ve benzeri tüm idari düzenleme hükümleri uygulanacaktır. </w:t>
      </w:r>
    </w:p>
    <w:p w14:paraId="2548B237" w14:textId="77777777" w:rsidR="00636E11" w:rsidRPr="00BC4205" w:rsidRDefault="00636E11" w:rsidP="00636E11">
      <w:pPr>
        <w:pStyle w:val="ListeParagraf"/>
        <w:numPr>
          <w:ilvl w:val="0"/>
          <w:numId w:val="10"/>
        </w:numPr>
        <w:autoSpaceDE w:val="0"/>
        <w:autoSpaceDN w:val="0"/>
        <w:adjustRightInd w:val="0"/>
        <w:spacing w:before="120" w:after="0" w:line="240" w:lineRule="auto"/>
        <w:ind w:left="284" w:right="51" w:hanging="284"/>
        <w:jc w:val="both"/>
        <w:rPr>
          <w:rFonts w:cs="Calibri"/>
          <w:color w:val="262626" w:themeColor="text1" w:themeTint="D9"/>
        </w:rPr>
      </w:pPr>
      <w:r w:rsidRPr="00BC4205">
        <w:rPr>
          <w:rFonts w:cs="Calibri"/>
          <w:color w:val="262626" w:themeColor="text1" w:themeTint="D9"/>
        </w:rPr>
        <w:t>Borçlanma araçlarının alım satımına ilişkin olarak Borsa’da gerçekleştireceğiniz işlemler riske tabidir. Piyasada oluşacak fiyat hareketi sonucunda Yatırım Kuruluşu’na tevdi ettiğiniz menkul kıymetler ve nakit zarara uğrayabilir. Kredili işlem gerçekleştiriyorsanız fiyat hareketleri neticesinde tevdi etmiş olduğunuz menkul kıymetlerin ve nakdin tamamını kaybedebileceğiniz gibi, zararınız yatırdığınız tutarı dahi aşabilecektir.</w:t>
      </w:r>
    </w:p>
    <w:p w14:paraId="70E9B54E" w14:textId="77777777" w:rsidR="00636E11" w:rsidRPr="00BC4205" w:rsidRDefault="00636E11" w:rsidP="00636E11">
      <w:pPr>
        <w:pStyle w:val="ListeParagraf"/>
        <w:numPr>
          <w:ilvl w:val="0"/>
          <w:numId w:val="10"/>
        </w:numPr>
        <w:autoSpaceDE w:val="0"/>
        <w:autoSpaceDN w:val="0"/>
        <w:adjustRightInd w:val="0"/>
        <w:spacing w:before="120" w:after="0" w:line="240" w:lineRule="auto"/>
        <w:ind w:left="284" w:right="51" w:hanging="284"/>
        <w:jc w:val="both"/>
        <w:rPr>
          <w:rFonts w:cs="Calibri"/>
          <w:color w:val="262626" w:themeColor="text1" w:themeTint="D9"/>
        </w:rPr>
      </w:pPr>
      <w:r w:rsidRPr="00BC4205">
        <w:rPr>
          <w:rFonts w:cs="Calibri"/>
          <w:color w:val="262626" w:themeColor="text1" w:themeTint="D9"/>
        </w:rPr>
        <w:t xml:space="preserve">Borçlanma Araçları Piyasasında işlem gören Menkul Kıymetler genel ekonomik ve siyasi ortamdan kaynaklanan fiyat hareketlerinden ve spekülatif ve manipülatif nitelikteki işlemlerden etkilenebilecektir. </w:t>
      </w:r>
    </w:p>
    <w:p w14:paraId="50DD5C8F" w14:textId="77777777" w:rsidR="00636E11" w:rsidRPr="00BC4205" w:rsidRDefault="00636E11" w:rsidP="00636E11">
      <w:pPr>
        <w:pStyle w:val="ListeParagraf"/>
        <w:numPr>
          <w:ilvl w:val="0"/>
          <w:numId w:val="10"/>
        </w:numPr>
        <w:autoSpaceDE w:val="0"/>
        <w:autoSpaceDN w:val="0"/>
        <w:adjustRightInd w:val="0"/>
        <w:spacing w:before="120" w:after="0" w:line="240" w:lineRule="auto"/>
        <w:ind w:left="284" w:right="51" w:hanging="284"/>
        <w:jc w:val="both"/>
        <w:rPr>
          <w:rFonts w:cs="Calibri"/>
          <w:color w:val="262626" w:themeColor="text1" w:themeTint="D9"/>
        </w:rPr>
      </w:pPr>
      <w:r w:rsidRPr="00BC4205">
        <w:rPr>
          <w:rFonts w:cs="Calibri"/>
          <w:color w:val="262626" w:themeColor="text1" w:themeTint="D9"/>
        </w:rPr>
        <w:t xml:space="preserve">Borçlanma araçlarını ihraç eden özel sektör şirketlerinin mali durumları bozulabilir, iflas edebilir ve şirket malvarlıklarına devlet tarafından el konulabilir. </w:t>
      </w:r>
    </w:p>
    <w:p w14:paraId="5734B117" w14:textId="77777777" w:rsidR="00636E11" w:rsidRPr="00BC4205" w:rsidRDefault="00636E11" w:rsidP="00636E11">
      <w:pPr>
        <w:pStyle w:val="ListeParagraf"/>
        <w:numPr>
          <w:ilvl w:val="0"/>
          <w:numId w:val="10"/>
        </w:numPr>
        <w:autoSpaceDE w:val="0"/>
        <w:autoSpaceDN w:val="0"/>
        <w:adjustRightInd w:val="0"/>
        <w:spacing w:before="120" w:after="0" w:line="240" w:lineRule="auto"/>
        <w:ind w:left="284" w:right="51" w:hanging="284"/>
        <w:jc w:val="both"/>
        <w:rPr>
          <w:rFonts w:cs="Calibri"/>
          <w:color w:val="262626" w:themeColor="text1" w:themeTint="D9"/>
        </w:rPr>
      </w:pPr>
      <w:r w:rsidRPr="00BC4205">
        <w:rPr>
          <w:rFonts w:cs="Calibri"/>
          <w:color w:val="262626" w:themeColor="text1" w:themeTint="D9"/>
        </w:rPr>
        <w:t xml:space="preserve">Borsa, SPK ve Borsa düzenlemeleri çerçevesinde borçlanma araçları, borçlanma araçları piyasasında işlem gören İhraççı Şirketlerin işlem sıralarını kapatmaya, yükümlülüklerini yerine getirmeyen Şirketlere ait borçlanma araçlarını sürekli veya geçici olarak Borsa kotundan çıkarmaya yetkilidir. </w:t>
      </w:r>
    </w:p>
    <w:p w14:paraId="1B7AA2B7" w14:textId="77777777" w:rsidR="00636E11" w:rsidRPr="00BC4205" w:rsidRDefault="00636E11" w:rsidP="00636E11">
      <w:pPr>
        <w:pStyle w:val="ListeParagraf"/>
        <w:numPr>
          <w:ilvl w:val="0"/>
          <w:numId w:val="10"/>
        </w:numPr>
        <w:autoSpaceDE w:val="0"/>
        <w:autoSpaceDN w:val="0"/>
        <w:adjustRightInd w:val="0"/>
        <w:spacing w:before="120" w:after="0" w:line="240" w:lineRule="auto"/>
        <w:ind w:left="284" w:right="51" w:hanging="284"/>
        <w:jc w:val="both"/>
        <w:rPr>
          <w:rFonts w:cs="Calibri"/>
          <w:color w:val="262626" w:themeColor="text1" w:themeTint="D9"/>
        </w:rPr>
      </w:pPr>
      <w:r w:rsidRPr="00BC4205">
        <w:rPr>
          <w:rFonts w:cs="Calibri"/>
          <w:color w:val="262626" w:themeColor="text1" w:themeTint="D9"/>
        </w:rPr>
        <w:lastRenderedPageBreak/>
        <w:t>Borçlanma araçları piyasasında gerçekleşen işlemlerde işlemlerin takası aynı gün (T+0), döviz ödemeli kıymetlerin takası ise en az  1 (bir) iş günü (T+1) valörlü olarak gerçekleştirilir. Bu süre içinde takas yükümlülüğünüzü yerine getirmemeniz halinde temerrüde düşmüş kabul edilirsiniz. Temerrüt halinde Yatırım Kuruluşu herhangi bir ihbar veya ihtarda bulunmaya, süre vermeye, adli veya idari mercilerden izin ya da onay almaya, teminatın açık artırma ya da başka bir yol ile nakde çevrilmesi gibi bir ön şartı yerine getirme yükümlülüğü olmaksızın teminat konusu sermaye piyasası araçlarını, borsa veya teşkilatlanmış diğer piyasalardaki değerlerinden aşağı olmamak üzere satabilir, satım bedelinden alacağını tahsil edebilir veya bu araçları mülkiyetine geçirerek değerini yükümlülüklerinizden mahsup edebilir.</w:t>
      </w:r>
    </w:p>
    <w:p w14:paraId="4AC0F469" w14:textId="7BC8916A" w:rsidR="00636E11" w:rsidRPr="00BC4205" w:rsidRDefault="00636E11" w:rsidP="00636E11">
      <w:pPr>
        <w:pStyle w:val="ListeParagraf"/>
        <w:numPr>
          <w:ilvl w:val="0"/>
          <w:numId w:val="10"/>
        </w:numPr>
        <w:autoSpaceDE w:val="0"/>
        <w:autoSpaceDN w:val="0"/>
        <w:adjustRightInd w:val="0"/>
        <w:spacing w:before="120" w:after="0" w:line="240" w:lineRule="auto"/>
        <w:ind w:left="284" w:right="51" w:hanging="284"/>
        <w:jc w:val="both"/>
        <w:rPr>
          <w:rFonts w:cs="Calibri"/>
          <w:color w:val="262626" w:themeColor="text1" w:themeTint="D9"/>
        </w:rPr>
      </w:pPr>
      <w:r w:rsidRPr="00BC4205">
        <w:rPr>
          <w:rFonts w:cs="Calibri"/>
          <w:color w:val="262626" w:themeColor="text1" w:themeTint="D9"/>
        </w:rPr>
        <w:t>Borçlanma araçları piyasasında işlem gerçekleştirilmek üzere satış emri verildiğinde, bu emri karşılayan emir bulunmaması halinde borçlanma araçlarının emrin verildiği anda satılamaması riski bulunmaktadır. Aynı şekilde alış emri verildiğinde de bu emri karşılayan emir bulunmaması halinde, emrin verildiği anda alım işlemi gerçekleşmeyebilecektir.</w:t>
      </w:r>
    </w:p>
    <w:p w14:paraId="078697A0" w14:textId="77777777" w:rsidR="00776A7F" w:rsidRPr="00776A7F" w:rsidRDefault="00776A7F" w:rsidP="00776A7F">
      <w:pPr>
        <w:pStyle w:val="Balk1"/>
        <w:contextualSpacing/>
        <w:jc w:val="center"/>
        <w:rPr>
          <w:rFonts w:ascii="Calibri" w:hAnsi="Calibri" w:cs="Calibri"/>
          <w:b/>
          <w:bCs/>
          <w:caps/>
          <w:color w:val="auto"/>
          <w:sz w:val="24"/>
          <w:szCs w:val="24"/>
        </w:rPr>
      </w:pPr>
      <w:bookmarkStart w:id="19" w:name="_YURT_DIŞI_İŞLEMLER"/>
      <w:bookmarkStart w:id="20" w:name="_Toc131686618"/>
      <w:bookmarkStart w:id="21" w:name="_Toc132626868"/>
      <w:bookmarkEnd w:id="19"/>
      <w:r w:rsidRPr="00776A7F">
        <w:rPr>
          <w:rFonts w:ascii="Calibri" w:hAnsi="Calibri" w:cs="Calibri"/>
          <w:b/>
          <w:bCs/>
          <w:caps/>
          <w:color w:val="auto"/>
          <w:sz w:val="24"/>
          <w:szCs w:val="24"/>
        </w:rPr>
        <w:t>YURT DIŞI İŞLEMLER RİSK BİLDİRİM FORMU</w:t>
      </w:r>
      <w:bookmarkEnd w:id="20"/>
      <w:bookmarkEnd w:id="21"/>
    </w:p>
    <w:p w14:paraId="5173957D" w14:textId="77777777" w:rsidR="00776A7F" w:rsidRPr="00776A7F" w:rsidRDefault="00776A7F" w:rsidP="00776A7F">
      <w:pPr>
        <w:spacing w:before="120" w:after="120"/>
        <w:jc w:val="both"/>
        <w:rPr>
          <w:rFonts w:cs="Calibri"/>
          <w:b/>
          <w:color w:val="262626" w:themeColor="text1" w:themeTint="D9"/>
          <w:u w:val="single"/>
        </w:rPr>
      </w:pPr>
      <w:r w:rsidRPr="00776A7F">
        <w:rPr>
          <w:rFonts w:cs="Calibri"/>
          <w:b/>
          <w:color w:val="262626" w:themeColor="text1" w:themeTint="D9"/>
          <w:u w:val="single"/>
        </w:rPr>
        <w:t>ÖNEMLİ AÇIKLAMA</w:t>
      </w:r>
    </w:p>
    <w:p w14:paraId="5A3AB75F" w14:textId="77777777" w:rsidR="00776A7F" w:rsidRPr="00776A7F" w:rsidRDefault="00776A7F" w:rsidP="00776A7F">
      <w:pPr>
        <w:spacing w:before="120" w:after="120"/>
        <w:jc w:val="both"/>
        <w:rPr>
          <w:rFonts w:cs="Calibri"/>
          <w:b/>
          <w:color w:val="262626" w:themeColor="text1" w:themeTint="D9"/>
        </w:rPr>
      </w:pPr>
      <w:r w:rsidRPr="00776A7F">
        <w:rPr>
          <w:rFonts w:cs="Calibri"/>
          <w:b/>
          <w:color w:val="262626" w:themeColor="text1" w:themeTint="D9"/>
        </w:rPr>
        <w:t>Yurt dışı borsalar ya da teşkilatlanmış diğer pazar yerleri (yurt dışı sermaye piyasaları) nezdinde yapacağınız sermaye piyasası araçlarının alım-satım işlemleri sonucunda kar elde edebileceğiniz gibi zarar riskiniz de bulunmaktadır. Bu nedenle, yurt dışı sermaye piyasalarında işlem yapmaya karar vermeden önce, piyasada karşılaşabileceğiniz riskleri anlamanız, mali durumunuzu ve kısıtlarınızı dikkate alarak karar vermeniz gerekmektedir.</w:t>
      </w:r>
    </w:p>
    <w:p w14:paraId="1999A4FC" w14:textId="77777777" w:rsidR="00776A7F" w:rsidRPr="00776A7F" w:rsidRDefault="00776A7F" w:rsidP="00776A7F">
      <w:pPr>
        <w:spacing w:before="120" w:after="120"/>
        <w:jc w:val="both"/>
        <w:rPr>
          <w:rFonts w:cs="Calibri"/>
          <w:b/>
          <w:color w:val="262626" w:themeColor="text1" w:themeTint="D9"/>
        </w:rPr>
      </w:pPr>
      <w:r w:rsidRPr="00776A7F">
        <w:rPr>
          <w:rFonts w:cs="Calibri"/>
          <w:b/>
          <w:color w:val="262626" w:themeColor="text1" w:themeTint="D9"/>
        </w:rPr>
        <w:t xml:space="preserve">Bu amaçla, Yatırım Hizmet ve Faaliyetleri Genel Risk Bildirim </w:t>
      </w:r>
      <w:proofErr w:type="spellStart"/>
      <w:r w:rsidRPr="00776A7F">
        <w:rPr>
          <w:rFonts w:cs="Calibri"/>
          <w:b/>
          <w:color w:val="262626" w:themeColor="text1" w:themeTint="D9"/>
        </w:rPr>
        <w:t>Formu’nun</w:t>
      </w:r>
      <w:proofErr w:type="spellEnd"/>
      <w:r w:rsidRPr="00776A7F">
        <w:rPr>
          <w:rFonts w:cs="Calibri"/>
          <w:b/>
          <w:color w:val="262626" w:themeColor="text1" w:themeTint="D9"/>
        </w:rPr>
        <w:t xml:space="preserve"> eki niteliğindeki “Yurt Dışı İşlemler Risk Bildirim </w:t>
      </w:r>
      <w:proofErr w:type="spellStart"/>
      <w:r w:rsidRPr="00776A7F">
        <w:rPr>
          <w:rFonts w:cs="Calibri"/>
          <w:b/>
          <w:color w:val="262626" w:themeColor="text1" w:themeTint="D9"/>
        </w:rPr>
        <w:t>Formu”nda</w:t>
      </w:r>
      <w:proofErr w:type="spellEnd"/>
      <w:r w:rsidRPr="00776A7F">
        <w:rPr>
          <w:rFonts w:cs="Calibri"/>
          <w:b/>
          <w:color w:val="262626" w:themeColor="text1" w:themeTint="D9"/>
        </w:rPr>
        <w:t xml:space="preserve"> yer alan aşağıdaki hususları anlamanız gerekmektedir.</w:t>
      </w:r>
    </w:p>
    <w:p w14:paraId="365B197C" w14:textId="77777777" w:rsidR="00776A7F" w:rsidRPr="00776A7F" w:rsidRDefault="00776A7F" w:rsidP="00776A7F">
      <w:pPr>
        <w:spacing w:before="120" w:after="120"/>
        <w:jc w:val="both"/>
        <w:rPr>
          <w:rFonts w:cs="Calibri"/>
          <w:b/>
          <w:color w:val="262626" w:themeColor="text1" w:themeTint="D9"/>
          <w:u w:val="single"/>
        </w:rPr>
      </w:pPr>
      <w:r w:rsidRPr="00776A7F">
        <w:rPr>
          <w:rFonts w:cs="Calibri"/>
          <w:b/>
          <w:color w:val="262626" w:themeColor="text1" w:themeTint="D9"/>
          <w:u w:val="single"/>
        </w:rPr>
        <w:t>UYARI</w:t>
      </w:r>
    </w:p>
    <w:p w14:paraId="5FED7DE4" w14:textId="77777777" w:rsidR="00776A7F" w:rsidRPr="00776A7F" w:rsidRDefault="00776A7F" w:rsidP="00776A7F">
      <w:pPr>
        <w:spacing w:before="120" w:after="120"/>
        <w:jc w:val="both"/>
        <w:rPr>
          <w:rFonts w:cs="Calibri"/>
          <w:color w:val="262626" w:themeColor="text1" w:themeTint="D9"/>
        </w:rPr>
      </w:pPr>
      <w:r w:rsidRPr="00776A7F">
        <w:rPr>
          <w:rFonts w:cs="Calibri"/>
          <w:color w:val="262626" w:themeColor="text1" w:themeTint="D9"/>
        </w:rPr>
        <w:t xml:space="preserve">İşlem yapmaya başlamadan önce çalışmayı düşündüğünüz yatırım kuruluşunun yapmak istediğiniz sermaye piyasası işlemlerine ilişkin yetki belgesi olup olmadığını kontrol ediniz. Sermaye piyasası işlemleri konusunda yetkili olan yatırım kuruluşlarını </w:t>
      </w:r>
      <w:hyperlink r:id="rId17" w:history="1">
        <w:r w:rsidRPr="00776A7F">
          <w:rPr>
            <w:rStyle w:val="Kpr"/>
            <w:rFonts w:cs="Calibri"/>
            <w:color w:val="262626" w:themeColor="text1" w:themeTint="D9"/>
          </w:rPr>
          <w:t>www.spk.gov.tr</w:t>
        </w:r>
      </w:hyperlink>
      <w:r w:rsidRPr="00776A7F">
        <w:rPr>
          <w:rFonts w:cs="Calibri"/>
          <w:color w:val="262626" w:themeColor="text1" w:themeTint="D9"/>
        </w:rPr>
        <w:t xml:space="preserve"> veya </w:t>
      </w:r>
      <w:hyperlink r:id="rId18" w:history="1">
        <w:r w:rsidRPr="00776A7F">
          <w:rPr>
            <w:rStyle w:val="Kpr"/>
            <w:rFonts w:cs="Calibri"/>
            <w:color w:val="262626" w:themeColor="text1" w:themeTint="D9"/>
          </w:rPr>
          <w:t>https://tspb.org.tr/tr/</w:t>
        </w:r>
      </w:hyperlink>
      <w:r w:rsidRPr="00776A7F">
        <w:rPr>
          <w:rFonts w:cs="Calibri"/>
          <w:color w:val="262626" w:themeColor="text1" w:themeTint="D9"/>
        </w:rPr>
        <w:t xml:space="preserve"> web sitelerinden öğrenebilirsiniz.</w:t>
      </w:r>
    </w:p>
    <w:p w14:paraId="3503777C" w14:textId="77777777" w:rsidR="00776A7F" w:rsidRPr="00776A7F" w:rsidRDefault="00776A7F" w:rsidP="00776A7F">
      <w:pPr>
        <w:spacing w:before="120" w:after="120"/>
        <w:jc w:val="both"/>
        <w:rPr>
          <w:rFonts w:cs="Calibri"/>
          <w:color w:val="262626" w:themeColor="text1" w:themeTint="D9"/>
        </w:rPr>
      </w:pPr>
      <w:r w:rsidRPr="00776A7F">
        <w:rPr>
          <w:rFonts w:cs="Calibri"/>
          <w:color w:val="262626" w:themeColor="text1" w:themeTint="D9"/>
        </w:rPr>
        <w:t>İşbu “Yurt dışı İşlemler Risk Bildirim Formu”,  yatırımcıyı genel olarak mevcut riskler hakkında bilgilendirmeyi amaçlamakta olup, yurt dışı sermaye piyasalarında işlem gören sermaye piyasası araçlarının alım-satımından ve uygulamadan kaynaklanabilecek tüm riskleri kapsamayabilir. Dolayısıyla tasarruflarınızı bu tip yatırımlara yönlendirmeden önce dikkatli bir şekilde araştırma yapmalısınız.</w:t>
      </w:r>
    </w:p>
    <w:p w14:paraId="610B99D9" w14:textId="77777777" w:rsidR="00776A7F" w:rsidRPr="00776A7F" w:rsidRDefault="00776A7F" w:rsidP="00776A7F">
      <w:pPr>
        <w:spacing w:before="120" w:after="120"/>
        <w:jc w:val="both"/>
        <w:rPr>
          <w:rFonts w:cs="Calibri"/>
          <w:b/>
          <w:caps/>
          <w:color w:val="262626" w:themeColor="text1" w:themeTint="D9"/>
          <w:u w:val="single"/>
        </w:rPr>
      </w:pPr>
      <w:r w:rsidRPr="00776A7F">
        <w:rPr>
          <w:rFonts w:cs="Calibri"/>
          <w:b/>
          <w:caps/>
          <w:color w:val="262626" w:themeColor="text1" w:themeTint="D9"/>
          <w:u w:val="single"/>
        </w:rPr>
        <w:t>Risk Profili</w:t>
      </w:r>
    </w:p>
    <w:p w14:paraId="151A16D1"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b/>
          <w:color w:val="262626" w:themeColor="text1" w:themeTint="D9"/>
        </w:rPr>
        <w:t xml:space="preserve">Piyasa Riski: </w:t>
      </w:r>
      <w:r w:rsidRPr="00776A7F">
        <w:rPr>
          <w:rFonts w:cs="Calibri"/>
          <w:color w:val="262626" w:themeColor="text1" w:themeTint="D9"/>
        </w:rPr>
        <w:t>Yurt dışı sermaye piyasalarında yapılacak işlemler başka bir ülkenin borsasında gerçekleşmekte olup işlem gören sermaye piyasası araçlarının değeri, ekonomik ve siyasi gelişmeler, ihraççı şirketlerin mali yapısında oluşabilecek olumsuz gelişmeler ile piyasada gerçekleşebilecek spekülatif ve manipülatif nitelikteki işlemlerden etkilenebilecektir.</w:t>
      </w:r>
    </w:p>
    <w:p w14:paraId="24EA0281"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color w:val="262626" w:themeColor="text1" w:themeTint="D9"/>
        </w:rPr>
        <w:t xml:space="preserve">Yurt dışı sermaye piyasalarında işlem gören sermaye piyasası araçlarına ilişkin işlem saatleri, takas süreleri ve işleyiş esasları ilgili ülke ve piyasalar bazında farklılık gösterebilir. İlgili ülkedeki iş günü ve işlem saatlerinin farklılığından doğan takas sürelerinin değişmesi, ödeme ve nakit akışlarının negatif etkilenmesi riskleri mevcuttur. Yurt içi piyasalar ve yatırım kuruluşlarının çalışma gün ve saatlerinin, yurt dışı piyasalar ve yetkili kuruluşların çalışma gün ve saatlerinden farklılık gösterebileceğinin, bu nedenle pozisyonların ve/veya teminatların kontrol ve takibinin zor </w:t>
      </w:r>
      <w:r w:rsidRPr="00776A7F">
        <w:rPr>
          <w:rFonts w:cs="Calibri"/>
          <w:color w:val="262626" w:themeColor="text1" w:themeTint="D9"/>
        </w:rPr>
        <w:lastRenderedPageBreak/>
        <w:t>olabileceğinin bilincinde olmalısınız. Saat farklılıkları nedeniyle Dinamik Yatırım, yurt dışı piyasaların açık olduğu her zaman hizmet vermek zorunda değildir. Dinamik Yatırım hizmetlerini ülkemizdeki kendi mesai saatleri çerçevesinde yürütmektedir.</w:t>
      </w:r>
    </w:p>
    <w:p w14:paraId="406ED9A4"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color w:val="262626" w:themeColor="text1" w:themeTint="D9"/>
        </w:rPr>
        <w:t>Yurt dışı piyasalarda işlem gören sermaye piyasası araçları çeşitli oranlarda risklere tabidir. Piyasada oluşacak fiyat hareketleri sonucunda yatırım kuruluşuna yatırdığınız paranın tümünü kaybedebileceğiniz gibi, kayıplarınız, yapacağınız işlemin türüne göre yatırdığınız para tutarını dahi aşabilecektir.</w:t>
      </w:r>
    </w:p>
    <w:p w14:paraId="77A04D0E"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color w:val="262626" w:themeColor="text1" w:themeTint="D9"/>
        </w:rPr>
        <w:t xml:space="preserve">Piyasalarda likiditenin düşük olduğu dönemlerde, piyasaların açılış ve kapanış saatlerinde, piyasaların tatil olduğu günlerde, piyasalarda önemli haber ve veri akışı ya da gün içi olağandışı bir gelişme olduğunda, oluşabilecek volatilite nedeniyle portföyünüzde bulunan açık pozisyonların sizi zarara uğratabileceği, yatırmış olduğunuz teminatın yetersiz hale gelebileceği ve tasfiye edilebileceği, yayılma pozisyonu aldığınız pozisyonların da teminat çağrısı ile kapanabileceği bilinmelidir. </w:t>
      </w:r>
    </w:p>
    <w:p w14:paraId="5BB9022D"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color w:val="262626" w:themeColor="text1" w:themeTint="D9"/>
        </w:rPr>
        <w:t>Vadeli işlem sözleşmesinde "spread" (fark veya yayılma) pozisyonu almak normal şartlarda daha az risklidir. Ancak olağanüstü piyasa şartlarında yayılma pozisyonu vadeli işlemler piyasasında doğrudan uzun veya kısa pozisyon almaktan her zaman daha az riskli olmayabilir. Yayılma pozisyonu almak, normal şartlarda teminat tamamlama ihtiyacını geçici olarak ertelemenize yardımcı olabilmekle birlikte, işlemlerinizin sürdürülebilirliği açısından kalıcı bir çare olarak görülmemelidir.</w:t>
      </w:r>
    </w:p>
    <w:p w14:paraId="63956E5C"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color w:val="262626" w:themeColor="text1" w:themeTint="D9"/>
        </w:rPr>
        <w:t xml:space="preserve">Yurt dışı piyasa mevzuatı çerçevesinde ilgili yasal otorite veya borsa tarafından işlemler herhangi bir zamanda durdurulabilir, kısıtlanabilir veya geçici süreyle kapatılabilir ve bu nedenlerle emirleriniz gerçekleştirilemeyebilir. </w:t>
      </w:r>
    </w:p>
    <w:p w14:paraId="76B79C7B"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b/>
          <w:color w:val="262626" w:themeColor="text1" w:themeTint="D9"/>
        </w:rPr>
        <w:t xml:space="preserve">Kur Riski: </w:t>
      </w:r>
      <w:r w:rsidRPr="00776A7F">
        <w:rPr>
          <w:rFonts w:cs="Calibri"/>
          <w:color w:val="262626" w:themeColor="text1" w:themeTint="D9"/>
        </w:rPr>
        <w:t>Yurt dışı piyasalarda gerçekleştirilen işlemler yabancı para birimleri üzerinden gerçekleştirilmekte olup, bu tür işlemlerde, sayılan tüm piyasa risklerine ek olarak kur riskinin olduğu, kur dalgalanmaları nedeniyle Türk Lirası bazında değer kaybı olabileceği gibi, devletlerin yabancı sermaye ve döviz hareketlerini kısıtlayabileceği, ek ve yeni vergiler getirebileceği, alım satım işlemlerinin zamanında gerçekleşmeyebileceği bilinmelidir.</w:t>
      </w:r>
    </w:p>
    <w:p w14:paraId="7CFB0B73"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b/>
          <w:color w:val="262626" w:themeColor="text1" w:themeTint="D9"/>
        </w:rPr>
        <w:t xml:space="preserve">Likidite Riski: </w:t>
      </w:r>
      <w:r w:rsidRPr="00776A7F">
        <w:rPr>
          <w:rFonts w:cs="Calibri"/>
          <w:color w:val="262626" w:themeColor="text1" w:themeTint="D9"/>
        </w:rPr>
        <w:t>Piyasanın sıkışık, likiditenin oldukça düşük olduğu, maksimum fiyat hareketinin gerçekleştiği bir ortamda, sistemde piyasa yapıcılığı mevcut ise; piyasa yapıcılarının en geniş banttan kotasyon verdikleri piyasa şartlarında, riski sınırlama imkânı veren "şarta bağlı emirler" ile "strateji emirleri" de dâhil olmak üzere Yatırım kuruluşu vasıtasıyla piyasaya iletilmesi istenilen emrin gerçekleşmeme ihtimali dikkate alınmalıdır.</w:t>
      </w:r>
    </w:p>
    <w:p w14:paraId="45F322DA"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color w:val="262626" w:themeColor="text1" w:themeTint="D9"/>
        </w:rPr>
        <w:t>Yurt dışı türev araç piyasalarında farklı dayanak varlıklara dayalı ve farklı vadelerde sözleşmelerin işlem görmesi mümkün olup, türev araç işlemleri dayanak varlığın türüne ve sözleşmenin vade sonuna kalan gün sayısına göre değişiklik gösteren likidite riski bulunmaktadır. Piyasalarda meydana gelen dalgalanmalardan dolayı yatırımınızın beklediğiniz kadar karla sonuçlanmayabileceği gibi piyasa riski nedeni ile zararla da sonuçlanabileceğini göz önünde bulundurmalısınız.</w:t>
      </w:r>
    </w:p>
    <w:p w14:paraId="1B8CEA93"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b/>
          <w:color w:val="262626" w:themeColor="text1" w:themeTint="D9"/>
        </w:rPr>
        <w:t xml:space="preserve">Ülke Riski: </w:t>
      </w:r>
      <w:r w:rsidRPr="00776A7F">
        <w:rPr>
          <w:rFonts w:cs="Calibri"/>
          <w:color w:val="262626" w:themeColor="text1" w:themeTint="D9"/>
        </w:rPr>
        <w:t>İşlem yapılacak piyasaların bulunduğu ülkelerin riski de ayrı bir risk faktörüdür. Bu kapsamda ihraççı kurum riskinin yanı sıra, ihraççı kurumun faaliyet gösterdiği ülkenin risk durumu da dikkate alınmalıdır.</w:t>
      </w:r>
    </w:p>
    <w:p w14:paraId="080FDA07"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b/>
          <w:color w:val="262626" w:themeColor="text1" w:themeTint="D9"/>
        </w:rPr>
        <w:t xml:space="preserve">Karşı Taraf Riski: </w:t>
      </w:r>
      <w:r w:rsidRPr="00776A7F">
        <w:rPr>
          <w:rFonts w:cs="Calibri"/>
          <w:color w:val="262626" w:themeColor="text1" w:themeTint="D9"/>
        </w:rPr>
        <w:t xml:space="preserve">Yurt dışı piyasalarda gerçekleştirilen işlemlerin tarafı olan, aracılık eden, gerçekleştiren veya saklama hizmeti sunan kuruluşlardan kaynaklanan karşı taraf riski, söz konusu olup, söz konusu kuruluşların size karşı borç ve yükümlülüklerini yerine getirmemeleri nedeniyle zarara uğrayabilirsiniz. Dinamik Yatırım, yurt dışı piyasalarda işlemlere aracılık eden, işlem </w:t>
      </w:r>
      <w:r w:rsidRPr="00776A7F">
        <w:rPr>
          <w:rFonts w:cs="Calibri"/>
          <w:color w:val="262626" w:themeColor="text1" w:themeTint="D9"/>
        </w:rPr>
        <w:lastRenderedPageBreak/>
        <w:t>gerçekleştirilen veya saklama hizmeti sunan kuruluşların mali durumlarının yükümlülüklerini karşılayacağını veya size karşı yükümlülüklerini yerine getireceğini garanti etmemektedir.</w:t>
      </w:r>
    </w:p>
    <w:p w14:paraId="632C031A"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color w:val="262626" w:themeColor="text1" w:themeTint="D9"/>
        </w:rPr>
        <w:t>Pay ve/veya pay benzeri kıymetleri ihraç eden anonim ortaklıklardır. Satın aldığınız menkul kıymetler ile ilgili olarak, ihraççıların taşıdığı tüm risklere de ortak olursunuz. Pay senedini satın aldığınız şirketin sermaye artırımı veya azaltımı, şirket birleşme, satın alma veya benzeri tüm kararları piyasa fiyatının değişmesine yol açabilecek ve sermaye artırımın bedelli olması halinde ilave para yatırmanız gerekebilecektir.</w:t>
      </w:r>
    </w:p>
    <w:p w14:paraId="2A7FDE01" w14:textId="77777777" w:rsidR="00776A7F" w:rsidRPr="00776A7F" w:rsidRDefault="00776A7F" w:rsidP="00776A7F">
      <w:pPr>
        <w:pStyle w:val="ListeParagraf"/>
        <w:numPr>
          <w:ilvl w:val="0"/>
          <w:numId w:val="20"/>
        </w:numPr>
        <w:spacing w:before="120" w:after="120"/>
        <w:ind w:left="425" w:hanging="425"/>
        <w:jc w:val="both"/>
        <w:rPr>
          <w:rFonts w:cs="Calibri"/>
          <w:color w:val="262626" w:themeColor="text1" w:themeTint="D9"/>
        </w:rPr>
      </w:pPr>
      <w:r w:rsidRPr="00776A7F">
        <w:rPr>
          <w:rFonts w:cs="Calibri"/>
          <w:color w:val="262626" w:themeColor="text1" w:themeTint="D9"/>
        </w:rPr>
        <w:t xml:space="preserve">Yurt dışı yatırım kuruluşunun tabi olduğu mevzuat uyarınca ödemelerinin tatil edilmesi, </w:t>
      </w:r>
      <w:proofErr w:type="spellStart"/>
      <w:r w:rsidRPr="00776A7F">
        <w:rPr>
          <w:rFonts w:cs="Calibri"/>
          <w:color w:val="262626" w:themeColor="text1" w:themeTint="D9"/>
        </w:rPr>
        <w:t>acz</w:t>
      </w:r>
      <w:proofErr w:type="spellEnd"/>
      <w:r w:rsidRPr="00776A7F">
        <w:rPr>
          <w:rFonts w:cs="Calibri"/>
          <w:color w:val="262626" w:themeColor="text1" w:themeTint="D9"/>
        </w:rPr>
        <w:t xml:space="preserve"> haline düşmesi veya iflas etmesi durumunda ilgili mevzuat hükümleri uygulanarak yapmış olduğunuz yatırımın tamamı karşılanamayabilir.</w:t>
      </w:r>
    </w:p>
    <w:p w14:paraId="067492E0" w14:textId="77777777" w:rsidR="00776A7F" w:rsidRPr="00776A7F" w:rsidRDefault="00776A7F" w:rsidP="00776A7F">
      <w:pPr>
        <w:spacing w:before="120" w:after="120"/>
        <w:jc w:val="both"/>
        <w:rPr>
          <w:rFonts w:cs="Calibri"/>
          <w:b/>
          <w:color w:val="262626" w:themeColor="text1" w:themeTint="D9"/>
          <w:u w:val="single"/>
        </w:rPr>
      </w:pPr>
      <w:r w:rsidRPr="00776A7F">
        <w:rPr>
          <w:rFonts w:cs="Calibri"/>
          <w:b/>
          <w:color w:val="262626" w:themeColor="text1" w:themeTint="D9"/>
          <w:u w:val="single"/>
        </w:rPr>
        <w:t>RİSK BİLDİRİMİ</w:t>
      </w:r>
    </w:p>
    <w:p w14:paraId="41334BEE" w14:textId="77777777" w:rsidR="00776A7F" w:rsidRPr="00776A7F" w:rsidRDefault="00776A7F" w:rsidP="00776A7F">
      <w:pPr>
        <w:spacing w:before="120" w:after="120"/>
        <w:jc w:val="both"/>
        <w:rPr>
          <w:rFonts w:cs="Calibri"/>
          <w:b/>
          <w:color w:val="262626" w:themeColor="text1" w:themeTint="D9"/>
        </w:rPr>
      </w:pPr>
      <w:r w:rsidRPr="00776A7F">
        <w:rPr>
          <w:rFonts w:cs="Calibri"/>
          <w:color w:val="262626" w:themeColor="text1" w:themeTint="D9"/>
        </w:rPr>
        <w:t>Yurt dışı piyasalarda işlem gerçekleştirmeden önce ihtiyaçlarınıza uygun finansal varlıkları, ülke, piyasa, platform ve pazarları belirlemenizi, söz konusu ülke ve piyasalardaki cari uygulama ve kurallar hakkında bilgi edinmenizi, ilişkili riskleri tespit etmenizi, gerekli görebileceğiniz araştırma ve incelemeyi gerçekleştirmenizi</w:t>
      </w:r>
      <w:r w:rsidRPr="00776A7F">
        <w:rPr>
          <w:rFonts w:cs="Calibri"/>
          <w:b/>
          <w:color w:val="262626" w:themeColor="text1" w:themeTint="D9"/>
        </w:rPr>
        <w:t xml:space="preserve"> </w:t>
      </w:r>
      <w:r w:rsidRPr="00776A7F">
        <w:rPr>
          <w:rFonts w:cs="Calibri"/>
          <w:color w:val="262626" w:themeColor="text1" w:themeTint="D9"/>
        </w:rPr>
        <w:t>ve yatırım kararlarınızı bu çerçevede vermenizi tavsiye etmekteyiz.</w:t>
      </w:r>
    </w:p>
    <w:p w14:paraId="67F4B7E9" w14:textId="77777777" w:rsidR="00776A7F" w:rsidRPr="00776A7F" w:rsidRDefault="00776A7F" w:rsidP="00776A7F">
      <w:pPr>
        <w:spacing w:before="120" w:after="120"/>
        <w:jc w:val="both"/>
        <w:rPr>
          <w:rFonts w:cs="Calibri"/>
          <w:color w:val="262626" w:themeColor="text1" w:themeTint="D9"/>
        </w:rPr>
      </w:pPr>
      <w:r w:rsidRPr="00776A7F">
        <w:rPr>
          <w:rFonts w:cs="Calibri"/>
          <w:color w:val="262626" w:themeColor="text1" w:themeTint="D9"/>
        </w:rPr>
        <w:t>Dinamik Yatırım ve yurt dışı yatırım kuruluşu ile imzalanacak çerçeve sözleşmelerde belirtilen hususlara ek olarak, aşağıdaki asgari hususları anlamanız çok önemlidir.</w:t>
      </w:r>
    </w:p>
    <w:p w14:paraId="3240464E" w14:textId="77777777" w:rsidR="00776A7F" w:rsidRPr="00776A7F" w:rsidRDefault="00776A7F" w:rsidP="00776A7F">
      <w:pPr>
        <w:pStyle w:val="ListeParagraf"/>
        <w:numPr>
          <w:ilvl w:val="0"/>
          <w:numId w:val="21"/>
        </w:numPr>
        <w:spacing w:before="120" w:after="120"/>
        <w:ind w:left="426" w:hanging="426"/>
        <w:jc w:val="both"/>
        <w:rPr>
          <w:rFonts w:cs="Calibri"/>
          <w:color w:val="262626" w:themeColor="text1" w:themeTint="D9"/>
        </w:rPr>
      </w:pPr>
      <w:r w:rsidRPr="00776A7F">
        <w:rPr>
          <w:rFonts w:cs="Calibri"/>
          <w:color w:val="262626" w:themeColor="text1" w:themeTint="D9"/>
        </w:rPr>
        <w:t>Yatırım kuruluşu nezdinde açtıracağınız hesap ve bu hesap üzerinden yurt dışı sermaye piyasalarında gerçekleştirileceğiniz tüm işlemler için Sermaye Piyasası Kurulu, ilgili yurt dışı borsalar, takas ve saklama merkezleri tarafından çıkartılan ilgili her türlü mevzuat ve benzeri tüm idari düzenleme hükümleri uygulanacaktır. Yurt dışı sermaye piyasalarında uygulanan ilgili ülke mevzuatındaki farklı düzenlemeler doğrultusunda size yatırımcı olarak farklı yükümlülükler yüklenebileceğini ve bu düzenlemelere uygun hareket etmek zorunluluğunuz olduğunu dikkate almanız gerekmektedir.</w:t>
      </w:r>
    </w:p>
    <w:p w14:paraId="66D5DDF3" w14:textId="77777777" w:rsidR="00776A7F" w:rsidRPr="00776A7F" w:rsidRDefault="00776A7F" w:rsidP="00776A7F">
      <w:pPr>
        <w:pStyle w:val="ListeParagraf"/>
        <w:numPr>
          <w:ilvl w:val="0"/>
          <w:numId w:val="21"/>
        </w:numPr>
        <w:spacing w:before="120" w:after="120"/>
        <w:ind w:left="425" w:hanging="426"/>
        <w:jc w:val="both"/>
        <w:rPr>
          <w:rFonts w:cs="Calibri"/>
          <w:color w:val="262626" w:themeColor="text1" w:themeTint="D9"/>
        </w:rPr>
      </w:pPr>
      <w:r w:rsidRPr="00776A7F">
        <w:rPr>
          <w:rFonts w:cs="Calibri"/>
          <w:color w:val="262626" w:themeColor="text1" w:themeTint="D9"/>
        </w:rPr>
        <w:t>Yatırım kuruluşunun yurt dışı sermaye piyasalarında yapacağınız işlemlere ve ürünlere ilişkin tarafınıza aktaracağı bilgiler ve yapacağı tavsiyelerin eksik ve doğrulanmaya muhtaç olabileceği tarafınızca dikkate alınmalıdır.</w:t>
      </w:r>
    </w:p>
    <w:p w14:paraId="35B09549" w14:textId="77777777" w:rsidR="00776A7F" w:rsidRPr="00776A7F" w:rsidRDefault="00776A7F" w:rsidP="00776A7F">
      <w:pPr>
        <w:pStyle w:val="ListeParagraf"/>
        <w:numPr>
          <w:ilvl w:val="0"/>
          <w:numId w:val="21"/>
        </w:numPr>
        <w:spacing w:before="120" w:after="120"/>
        <w:ind w:left="425" w:hanging="426"/>
        <w:jc w:val="both"/>
        <w:rPr>
          <w:rFonts w:cs="Calibri"/>
          <w:color w:val="262626" w:themeColor="text1" w:themeTint="D9"/>
        </w:rPr>
      </w:pPr>
      <w:r w:rsidRPr="00776A7F">
        <w:rPr>
          <w:rFonts w:cs="Calibri"/>
          <w:color w:val="262626" w:themeColor="text1" w:themeTint="D9"/>
        </w:rPr>
        <w:t>Yurt dışı sermaye piyasası araçlarının alım satımına ilişkin olarak yatırım kuruluşunun yetkili personelince yapılacak teknik ve temel analizin kişiden kişiye farklılık arz edebileceği ve bu analizlerde yapılan öngörülerin kesin olarak gerçekleşmeme olasılığının bulunduğu dikkate alınmalıdır.</w:t>
      </w:r>
    </w:p>
    <w:p w14:paraId="525BDB79" w14:textId="77777777" w:rsidR="00776A7F" w:rsidRPr="00776A7F" w:rsidRDefault="00776A7F" w:rsidP="00776A7F">
      <w:pPr>
        <w:pStyle w:val="ListeParagraf"/>
        <w:numPr>
          <w:ilvl w:val="0"/>
          <w:numId w:val="21"/>
        </w:numPr>
        <w:spacing w:before="120" w:after="120"/>
        <w:ind w:left="425" w:hanging="426"/>
        <w:jc w:val="both"/>
        <w:rPr>
          <w:rFonts w:cs="Calibri"/>
          <w:color w:val="262626" w:themeColor="text1" w:themeTint="D9"/>
        </w:rPr>
      </w:pPr>
      <w:r w:rsidRPr="00776A7F">
        <w:rPr>
          <w:rFonts w:cs="Calibri"/>
          <w:color w:val="262626" w:themeColor="text1" w:themeTint="D9"/>
        </w:rPr>
        <w:t>Yurt dışı işlemleri için organize bir ikincil piyasa mevcuttur.</w:t>
      </w:r>
    </w:p>
    <w:p w14:paraId="28FF9583" w14:textId="77777777" w:rsidR="00776A7F" w:rsidRPr="00776A7F" w:rsidRDefault="00776A7F" w:rsidP="00776A7F">
      <w:pPr>
        <w:pStyle w:val="ListeParagraf"/>
        <w:numPr>
          <w:ilvl w:val="0"/>
          <w:numId w:val="21"/>
        </w:numPr>
        <w:spacing w:before="120" w:after="120"/>
        <w:ind w:left="425" w:hanging="426"/>
        <w:jc w:val="both"/>
        <w:rPr>
          <w:rFonts w:cs="Calibri"/>
          <w:color w:val="262626" w:themeColor="text1" w:themeTint="D9"/>
        </w:rPr>
      </w:pPr>
      <w:r w:rsidRPr="00776A7F">
        <w:rPr>
          <w:rFonts w:cs="Calibri"/>
          <w:color w:val="262626" w:themeColor="text1" w:themeTint="D9"/>
        </w:rPr>
        <w:t xml:space="preserve">Sermaye piyasası aracı alım </w:t>
      </w:r>
      <w:proofErr w:type="spellStart"/>
      <w:r w:rsidRPr="00776A7F">
        <w:rPr>
          <w:rFonts w:cs="Calibri"/>
          <w:color w:val="262626" w:themeColor="text1" w:themeTint="D9"/>
        </w:rPr>
        <w:t>işlemlerinde</w:t>
      </w:r>
      <w:proofErr w:type="spellEnd"/>
      <w:r w:rsidRPr="00776A7F">
        <w:rPr>
          <w:rFonts w:cs="Calibri"/>
          <w:color w:val="262626" w:themeColor="text1" w:themeTint="D9"/>
        </w:rPr>
        <w:t xml:space="preserve"> yatırımcı hesabında yeterli nakdin; satış işlemlerinde ise işleme konu sermaye piyasası aracının bulunması gereklidir. Yatırımcının ilettiği emirler, hesabında emrin gerçekleşmesi için yurt dışı yatırım kuruluşunun ve/veya ilgili borsa/piyasaların belirlediği asgari teminat/döviz tutarının bulunması halinde ve ilgili borsa ve/veya piyasalar tarafından belirlenen emir tiplerine, emir geçerlilik sürelerine, işlem esaslarına, emir yöntemlerine ilişkin düzenlemelere uygun olarak gerçekleştirilir.</w:t>
      </w:r>
    </w:p>
    <w:p w14:paraId="70179349"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 xml:space="preserve">Yurt dışı piyasalarda gerçekleştirilen türev araç işlemleri pek çok açıdan yurt içi piyasalardaki işlemlerden farklılaşabilir, uygulanacak mevzuat, işlem kuralları ve işlem taraflarının tabi oldukları yükümlülük ve düzenlemeler gibi pek çok husus değişiklik arz edebilir. Bu nedenle yurt dışı piyasalarda işlem gerçekleştirmeden önce, ilgili ülke, piyasa, türev araç ve yurt dışında çalışılan kurumlar hakkında işbu formda yer alan bilgiler ile yetinmeksizin yurt içinde çalışmayı </w:t>
      </w:r>
      <w:r w:rsidRPr="00776A7F">
        <w:rPr>
          <w:rFonts w:cs="Calibri"/>
          <w:color w:val="262626" w:themeColor="text1" w:themeTint="D9"/>
        </w:rPr>
        <w:lastRenderedPageBreak/>
        <w:t>düşündüğünüz yatırım kuruluşundan bağımsız bir araştırma yapmanızı ve bu formda belirtilenler ile sınırlı olmaksızın gerçekleştirmeyi düşündüğünüz işlem ile ilişkili riskleri tespit etmenizi tavsiye etmekteyiz.</w:t>
      </w:r>
    </w:p>
    <w:p w14:paraId="537A4969"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Opsiyon ve vadeli işlem sözleşmelerinin birçok çeşidi vardır ve kendinizi bir taahhüt altına sokmadan önce, yatırım kuruluşunuzla yatırım ihtiyaçlarınız ve tip sözleşmelere taraf olmanın içerdiği riskler konusunda fikir alışverişinde bulunmalısınız.</w:t>
      </w:r>
    </w:p>
    <w:p w14:paraId="155F1E95"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 xml:space="preserve">Başlangıç teminatı, bir pozisyon açılırken yatırılması zorunlu olan teminat tutarını; sürdürme teminatı ise piyasadaki günlük fiyat hareketleri karşısında güncelleştirilen teminat tutarlarının koruması gereken alt sınırı ifade etmektedir. Bu iki tür teminatta da borsalarca zaman zaman düzenlemeler yapılabilir. Yapılacak düzenlemeler neticesinde ortaya çıkabilecek her türlü zarar, ziyan ve kayıp sizin sorumluluğunuzdadır. </w:t>
      </w:r>
    </w:p>
    <w:p w14:paraId="7D250102"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Yurt dışı sermaye piyasalarında pozisyon almak üzere yatırım kuruluşu nezdinde açtıracağınız ve teminat yatıracağınız hesabınızdan piyasada alım-satım işleminde bulunacağınız her vadeli işlem (</w:t>
      </w:r>
      <w:proofErr w:type="spellStart"/>
      <w:r w:rsidRPr="00776A7F">
        <w:rPr>
          <w:rFonts w:cs="Calibri"/>
          <w:color w:val="262626" w:themeColor="text1" w:themeTint="D9"/>
        </w:rPr>
        <w:t>futures</w:t>
      </w:r>
      <w:proofErr w:type="spellEnd"/>
      <w:r w:rsidRPr="00776A7F">
        <w:rPr>
          <w:rFonts w:cs="Calibri"/>
          <w:color w:val="262626" w:themeColor="text1" w:themeTint="D9"/>
        </w:rPr>
        <w:t>) sözleşmesi için en az ilgili borsanın belirlediği tutarda bir başlangıç teminatı yatırılması gerekmektedir.</w:t>
      </w:r>
    </w:p>
    <w:p w14:paraId="0FA4A37D"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Yurt dışı yatırım kuruluşu tarafından yapılacak teminat tamamlama çağrılarının istenen süre içinde ve şekilde yerine getirilmesi, aksi takdirde hiçbir ihbara gerek olmaksızın pozisyonun piyasa değerinden, özen borcu çerçevesinde zararına da olsa kapatılmasına razı olunması gerekmektedir.</w:t>
      </w:r>
    </w:p>
    <w:p w14:paraId="3A20AC55"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 xml:space="preserve">Pozisyonlar yurt dışı yatırım kuruluşu tarafından belirlenen bir risk seviyesine ulaştığında otomatik olarak işlem platformunda ters işlem yapılarak kapatılabilir. Yurt dışı yatırım kuruluşu, yatırımcı hesabındaki teminatların yetersiz olacağı, teminat tamamlama yükümlülüğünü yerine getirmeyeceği kanaatine vardığı veya yatırımcı menfaati için derhal müdahale edilmesi gereken durumlarda pozisyonları </w:t>
      </w:r>
      <w:proofErr w:type="spellStart"/>
      <w:r w:rsidRPr="00776A7F">
        <w:rPr>
          <w:rFonts w:cs="Calibri"/>
          <w:color w:val="262626" w:themeColor="text1" w:themeTint="D9"/>
        </w:rPr>
        <w:t>re’sen</w:t>
      </w:r>
      <w:proofErr w:type="spellEnd"/>
      <w:r w:rsidRPr="00776A7F">
        <w:rPr>
          <w:rFonts w:cs="Calibri"/>
          <w:color w:val="262626" w:themeColor="text1" w:themeTint="D9"/>
        </w:rPr>
        <w:t xml:space="preserve"> kapamaya (likide etmeye) tam yetkilidir. </w:t>
      </w:r>
    </w:p>
    <w:p w14:paraId="127FFC05"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Yatırımcı, elektronik işlem platformundan, olası bir teminat açığı durumunda, en son likide edilmesini istediği pozisyonları belirlemediyse ilk hangi sözleşmelerin likide edileceğine yurt dışı yatırım kuruluşu tarafından karar verilir. Yatırımcı olarak, pozisyonlarınızın teminat açığı nedeniyle kapatılmasından doğan zararlardan siz sorumlu olursunuz.</w:t>
      </w:r>
    </w:p>
    <w:p w14:paraId="52F3F5B3"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Gerçekleştireceğiniz emirlerin yerine getirilmesinde yurt dışı yatırım kuruluşu tarafından işlem teminatının kontrolünün yapılacağını ve emirlerin eşleşmesi sırasında hesabınızda yeterli teminatın bulunmaması halinde emrin size herhangi bir bildirimde bulunulmasına gerek olmaksızın iptal edilebileceğini dikkate almalısınız.</w:t>
      </w:r>
    </w:p>
    <w:p w14:paraId="7425C278"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İlgili borsaların, kendilerine ait mevzuatta yer alan belli koşulların varlığı halinde, vadeli işlem ve opsiyon sözleşmelerinin vade bitim tarihlerini belirleme veya belirlenmiş olan vade bitim tarihlerini değiştirme ve pozisyonları tasfiye etme yetkileri bulunabilir.</w:t>
      </w:r>
    </w:p>
    <w:p w14:paraId="67A26BC1"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Bir opsiyon sözleşmesi alırsanız, opsiyonu kullanmadığınız takdirde riskinizi, opsiyon primi ve buna ek olarak ödeyeceğiniz komisyon ve diğer muamele ücreti ile sınırlamanız mümkündür.</w:t>
      </w:r>
    </w:p>
    <w:p w14:paraId="5D0CB62F"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Bir opsiyon satarsanız, görece küçük ters bir piyasa hareketinde, opsiyon satmakla elde ettiğiniz prim ödemesini aşabilecek sınırsız potansiyel kayıp riskini üstlenirsiniz.</w:t>
      </w:r>
    </w:p>
    <w:p w14:paraId="4BB61891"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Opsiyonu yerine getirmeniz istendiğinde, bunun üzerinde herhangi bir kontrol yetkiniz yoktur. Dolayısıyla, sadece yüksek sermayeye sahip deneyimli kişiler opsiyon satmaya teşebbüs etmelidirler.</w:t>
      </w:r>
    </w:p>
    <w:p w14:paraId="23D9574E"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Yurt dışı işlemlerin limitli emir vermek suretiyle yapılacağı durumlarda, bu emirlerin çeşitli teknik problemler ya da piyasa koşulları nedeniyle belirlediğiniz fiyat seviyesinden gerçekleşmeyebileceğini dikkate almalı ve yatırım kararlarınızı bu doğrultuda vermelisiniz.</w:t>
      </w:r>
    </w:p>
    <w:p w14:paraId="63F72300"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lastRenderedPageBreak/>
        <w:t>Kaldıraç etkisi nedeniyle, düşük teminatla işlem yapmanın piyasada lehe çalışabileceği gibi aleyhe de çalışabileceği ve bu anlamda kaldıraç etkisinin tarafınıza yüksek kazançlar sağlayabileceği gibi zararlara da yol açabileceği ihtimali göz önünde bulundurulmalıdır.</w:t>
      </w:r>
    </w:p>
    <w:p w14:paraId="1B06A4C6"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 xml:space="preserve">İlgili borsa tarafından, hesap ve borsa üyesi bazında belirlenen, tüm teslimat vadelerinde toplam olarak veya aynı sözleşme türü bazında çeşitli teslimat vadelerinde ara toplam olarak sahip olunabilecek azami pozisyonu ifade eden pozisyon limitine ulaşıldığı takdirde pozisyonunuzu kapatmak dışında vereceğiniz emirler piyasada gerçekleşmeyebilecektir. </w:t>
      </w:r>
    </w:p>
    <w:p w14:paraId="68EBF760" w14:textId="77777777" w:rsidR="00776A7F" w:rsidRPr="00776A7F" w:rsidRDefault="00776A7F" w:rsidP="00776A7F">
      <w:pPr>
        <w:pStyle w:val="ListeParagraf"/>
        <w:numPr>
          <w:ilvl w:val="0"/>
          <w:numId w:val="21"/>
        </w:numPr>
        <w:spacing w:before="120" w:after="120"/>
        <w:ind w:left="425" w:hanging="425"/>
        <w:jc w:val="both"/>
        <w:rPr>
          <w:rFonts w:cs="Calibri"/>
          <w:color w:val="262626" w:themeColor="text1" w:themeTint="D9"/>
        </w:rPr>
      </w:pPr>
      <w:r w:rsidRPr="00776A7F">
        <w:rPr>
          <w:rFonts w:cs="Calibri"/>
          <w:color w:val="262626" w:themeColor="text1" w:themeTint="D9"/>
        </w:rPr>
        <w:t xml:space="preserve">Piyasadaki fiyat hareketleri, almış olduğunuz pozisyon aleyhine geliştiğinde, hesabınız ilgili borsa tarafından “riskli” hesap olarak belirlenebilir. Bu durumda ilgili borsaya pasif emir girişi yapılamayabilir. </w:t>
      </w:r>
    </w:p>
    <w:p w14:paraId="3F7E0799" w14:textId="77777777" w:rsidR="00776A7F" w:rsidRPr="00776A7F" w:rsidRDefault="00776A7F" w:rsidP="00776A7F">
      <w:pPr>
        <w:spacing w:before="120" w:after="120"/>
        <w:jc w:val="both"/>
        <w:rPr>
          <w:rFonts w:cs="Calibri"/>
          <w:b/>
          <w:caps/>
          <w:color w:val="262626" w:themeColor="text1" w:themeTint="D9"/>
          <w:u w:val="single"/>
        </w:rPr>
      </w:pPr>
      <w:r w:rsidRPr="00776A7F">
        <w:rPr>
          <w:rFonts w:cs="Calibri"/>
          <w:b/>
          <w:caps/>
          <w:color w:val="262626" w:themeColor="text1" w:themeTint="D9"/>
          <w:u w:val="single"/>
        </w:rPr>
        <w:t>İşlem yapılan borsa ve platformlar</w:t>
      </w:r>
    </w:p>
    <w:p w14:paraId="60F65DBC" w14:textId="77777777" w:rsidR="00776A7F" w:rsidRPr="00776A7F" w:rsidRDefault="00776A7F" w:rsidP="00776A7F">
      <w:pPr>
        <w:pStyle w:val="ListeParagraf"/>
        <w:numPr>
          <w:ilvl w:val="0"/>
          <w:numId w:val="22"/>
        </w:numPr>
        <w:spacing w:before="120" w:after="120"/>
        <w:ind w:left="426" w:hanging="425"/>
        <w:jc w:val="both"/>
        <w:rPr>
          <w:rFonts w:cs="Calibri"/>
          <w:color w:val="262626" w:themeColor="text1" w:themeTint="D9"/>
        </w:rPr>
      </w:pPr>
      <w:r w:rsidRPr="00776A7F">
        <w:rPr>
          <w:rFonts w:cs="Calibri"/>
          <w:color w:val="262626" w:themeColor="text1" w:themeTint="D9"/>
        </w:rPr>
        <w:t xml:space="preserve">Yurt dışı sermaye piyasası işlemleri, işlemlerin yürütüleceği ülkenin yetkili otoritesinden faaliyet izni almış ve yatırım kuruluşu ile yazılı sözleşme yapmış yurt dışı yatırım kuruluşları aracılığıyla, elektronik işlem platformları vasıtasıyla gerçekleştirilir. </w:t>
      </w:r>
    </w:p>
    <w:p w14:paraId="6676D760" w14:textId="77777777" w:rsidR="00776A7F" w:rsidRPr="00776A7F" w:rsidRDefault="00776A7F" w:rsidP="00776A7F">
      <w:pPr>
        <w:pStyle w:val="ListeParagraf"/>
        <w:numPr>
          <w:ilvl w:val="0"/>
          <w:numId w:val="22"/>
        </w:numPr>
        <w:spacing w:before="120" w:after="120"/>
        <w:ind w:left="425" w:hanging="425"/>
        <w:jc w:val="both"/>
        <w:rPr>
          <w:rFonts w:cs="Calibri"/>
          <w:color w:val="262626" w:themeColor="text1" w:themeTint="D9"/>
        </w:rPr>
      </w:pPr>
      <w:r w:rsidRPr="00776A7F">
        <w:rPr>
          <w:rFonts w:cs="Calibri"/>
          <w:color w:val="262626" w:themeColor="text1" w:themeTint="D9"/>
        </w:rPr>
        <w:t>Yurt dışı yatırım kuruluşları ile akdedilecek sözleşme ve ekleri, ilgili bildirimler ve elektronik işlem platformunun yabancı dilde hazırlanmış olması halinde, bunların içeriğinin anlaşılması, değerlendirilmesi ve kullanımı yatırımcının sorumluluğundadır.</w:t>
      </w:r>
    </w:p>
    <w:p w14:paraId="78317528" w14:textId="77777777" w:rsidR="00776A7F" w:rsidRPr="00776A7F" w:rsidRDefault="00776A7F" w:rsidP="00776A7F">
      <w:pPr>
        <w:pStyle w:val="ListeParagraf"/>
        <w:numPr>
          <w:ilvl w:val="0"/>
          <w:numId w:val="22"/>
        </w:numPr>
        <w:spacing w:before="120" w:after="120"/>
        <w:ind w:left="425" w:hanging="425"/>
        <w:jc w:val="both"/>
        <w:rPr>
          <w:rFonts w:cs="Calibri"/>
          <w:color w:val="262626" w:themeColor="text1" w:themeTint="D9"/>
        </w:rPr>
      </w:pPr>
      <w:r w:rsidRPr="00776A7F">
        <w:rPr>
          <w:rFonts w:cs="Calibri"/>
          <w:color w:val="262626" w:themeColor="text1" w:themeTint="D9"/>
        </w:rPr>
        <w:t xml:space="preserve">Dinamik Yatırım’ın, yurt dışı piyasalarda emir iletimine aracılık faaliyetini yürüttüğü yurt dışı yatırım kuruluşları ile bu kuruluşların işlem yapmaya yetkili olduğu piyasalar ve işlem gerçekleştirilen platformlar hakkındaki güncel bilgilere </w:t>
      </w:r>
      <w:hyperlink r:id="rId19" w:history="1">
        <w:r w:rsidRPr="00776A7F">
          <w:rPr>
            <w:rStyle w:val="Kpr"/>
            <w:rFonts w:cs="Calibri"/>
            <w:color w:val="262626" w:themeColor="text1" w:themeTint="D9"/>
          </w:rPr>
          <w:t>www.dinamikyatirim.com.tr</w:t>
        </w:r>
      </w:hyperlink>
      <w:r w:rsidRPr="00776A7F">
        <w:rPr>
          <w:rFonts w:cs="Calibri"/>
          <w:color w:val="262626" w:themeColor="text1" w:themeTint="D9"/>
        </w:rPr>
        <w:t xml:space="preserve"> internet adresinde yer verilmiştir. </w:t>
      </w:r>
    </w:p>
    <w:p w14:paraId="1C688654" w14:textId="77777777" w:rsidR="00776A7F" w:rsidRPr="00776A7F" w:rsidRDefault="00776A7F" w:rsidP="00776A7F">
      <w:pPr>
        <w:pStyle w:val="ListeParagraf"/>
        <w:numPr>
          <w:ilvl w:val="0"/>
          <w:numId w:val="22"/>
        </w:numPr>
        <w:spacing w:before="120" w:after="120"/>
        <w:ind w:left="425" w:hanging="425"/>
        <w:jc w:val="both"/>
        <w:rPr>
          <w:rFonts w:cs="Calibri"/>
          <w:color w:val="262626" w:themeColor="text1" w:themeTint="D9"/>
        </w:rPr>
      </w:pPr>
      <w:r w:rsidRPr="00776A7F">
        <w:rPr>
          <w:rFonts w:cs="Calibri"/>
          <w:color w:val="262626" w:themeColor="text1" w:themeTint="D9"/>
        </w:rPr>
        <w:t xml:space="preserve">Yatırım kuruluşu ve yurt dışı yatırım kuruluşu ile sözleşme imzalanmasını takiben, elektronik işlem platformuna erişim için size bir kullanıcı kodu verilecek ve şifre belirlemeniz istenecektir. Bu kullanıcı kodu ve şifre ile giriş yapılarak SMS ile cep telefonunuza iletilen tek kullanımlık doğrulama kodu ile platforma erişerek yurt dışı yatırım kuruluşu nezdindeki hesabınız üzerinden işlem yapabilecek ve emir verebileceksiniz. Platforma erişim için kullanılan cihazların ve kullanıcı kodu ve şifrenin korunması ve yetkisiz kişilerin eline geçmesinin engellenmesi yatırımcının sorumluluğundadır. </w:t>
      </w:r>
    </w:p>
    <w:p w14:paraId="70F615A9" w14:textId="77777777" w:rsidR="00776A7F" w:rsidRPr="00776A7F" w:rsidRDefault="00776A7F" w:rsidP="00776A7F">
      <w:pPr>
        <w:pStyle w:val="ListeParagraf"/>
        <w:numPr>
          <w:ilvl w:val="0"/>
          <w:numId w:val="22"/>
        </w:numPr>
        <w:spacing w:before="120" w:after="120"/>
        <w:ind w:left="425" w:hanging="425"/>
        <w:jc w:val="both"/>
        <w:rPr>
          <w:rFonts w:cs="Calibri"/>
          <w:color w:val="262626" w:themeColor="text1" w:themeTint="D9"/>
        </w:rPr>
      </w:pPr>
      <w:r w:rsidRPr="00776A7F">
        <w:rPr>
          <w:rFonts w:cs="Calibri"/>
          <w:color w:val="262626" w:themeColor="text1" w:themeTint="D9"/>
        </w:rPr>
        <w:t xml:space="preserve">Elektronik işlem platformuna yatırım kuruluşunun elinde olmayan teknik-sistemsel sorunlar, iletişim aksaklıkları vb. nedenlerle ulaşılamaması halinde emirlerin zamanında iletilememesi riski bulunmaktadır. </w:t>
      </w:r>
    </w:p>
    <w:p w14:paraId="2BA9E9BC" w14:textId="77777777" w:rsidR="00776A7F" w:rsidRPr="00776A7F" w:rsidRDefault="00776A7F" w:rsidP="00776A7F">
      <w:pPr>
        <w:spacing w:before="120" w:after="120"/>
        <w:jc w:val="both"/>
        <w:rPr>
          <w:rFonts w:cs="Calibri"/>
          <w:b/>
          <w:caps/>
          <w:color w:val="262626" w:themeColor="text1" w:themeTint="D9"/>
          <w:u w:val="single"/>
        </w:rPr>
      </w:pPr>
      <w:r w:rsidRPr="00776A7F">
        <w:rPr>
          <w:rFonts w:cs="Calibri"/>
          <w:b/>
          <w:caps/>
          <w:color w:val="262626" w:themeColor="text1" w:themeTint="D9"/>
          <w:u w:val="single"/>
        </w:rPr>
        <w:t>Sermaye piyasası araçlarına ilişkin risk takibi</w:t>
      </w:r>
    </w:p>
    <w:p w14:paraId="30789628" w14:textId="77777777" w:rsidR="00776A7F" w:rsidRPr="00776A7F" w:rsidRDefault="00776A7F" w:rsidP="00776A7F">
      <w:pPr>
        <w:spacing w:before="120" w:after="120"/>
        <w:jc w:val="both"/>
        <w:rPr>
          <w:rFonts w:cs="Calibri"/>
          <w:color w:val="262626" w:themeColor="text1" w:themeTint="D9"/>
        </w:rPr>
      </w:pPr>
      <w:r w:rsidRPr="00776A7F">
        <w:rPr>
          <w:rFonts w:cs="Calibri"/>
          <w:color w:val="262626" w:themeColor="text1" w:themeTint="D9"/>
        </w:rPr>
        <w:t>İşlemlerinize ilişkin her türlü bildirim, teminat tamamlama çağrıları ve uyarılar yurt dışı yatırım kuruluşu tarafından elektronik işlem platformu üzerinden yapılır. Elektronik işlem platformu üzerinden herhangi bir anda yapılabilecek tüm bildirimleri ve işlemlerinizin sonucunu elektronik işlem platformu üzerinden takip etmek ve bu bildirimlere uygun hareket etmemekten doğan her türlü zarar ve kayıp sizin sorumluluğunuzdadır.</w:t>
      </w:r>
    </w:p>
    <w:p w14:paraId="1D25539A" w14:textId="77777777" w:rsidR="00776A7F" w:rsidRPr="00776A7F" w:rsidRDefault="00776A7F" w:rsidP="00776A7F">
      <w:pPr>
        <w:spacing w:before="120" w:after="120"/>
        <w:jc w:val="both"/>
        <w:rPr>
          <w:rFonts w:cs="Calibri"/>
          <w:b/>
          <w:caps/>
          <w:color w:val="262626" w:themeColor="text1" w:themeTint="D9"/>
          <w:u w:val="single"/>
        </w:rPr>
      </w:pPr>
      <w:r w:rsidRPr="00776A7F">
        <w:rPr>
          <w:rFonts w:cs="Calibri"/>
          <w:b/>
          <w:caps/>
          <w:color w:val="262626" w:themeColor="text1" w:themeTint="D9"/>
          <w:u w:val="single"/>
        </w:rPr>
        <w:t>Sermaye piyasası aracının veya YATIRIMCI varlığının saklanması</w:t>
      </w:r>
    </w:p>
    <w:p w14:paraId="3C04F0F8" w14:textId="77777777" w:rsidR="00776A7F" w:rsidRPr="00776A7F" w:rsidRDefault="00776A7F" w:rsidP="00776A7F">
      <w:pPr>
        <w:spacing w:before="120" w:after="120"/>
        <w:jc w:val="both"/>
        <w:rPr>
          <w:rFonts w:cs="Calibri"/>
          <w:color w:val="262626" w:themeColor="text1" w:themeTint="D9"/>
        </w:rPr>
      </w:pPr>
      <w:r w:rsidRPr="00776A7F">
        <w:rPr>
          <w:rFonts w:cs="Calibri"/>
          <w:color w:val="262626" w:themeColor="text1" w:themeTint="D9"/>
        </w:rPr>
        <w:t xml:space="preserve">Yurt dışı sermaye piyasalarında gerçekleşen sermaye piyasası işlemlerinin takas ve saklaması, Dinamik Yatırım’ın emir iletimine aracılık konusunda sözleşme imzaladığı yurt dışı kuruluş vasıtası ile yurt dışında yetkili takas ve saklama kuruluşları nezdinde gerçekleştirilir. Saklama ile ilgili detaylı bilgilere </w:t>
      </w:r>
      <w:hyperlink r:id="rId20" w:history="1">
        <w:r w:rsidRPr="00776A7F">
          <w:rPr>
            <w:rStyle w:val="Kpr"/>
            <w:rFonts w:cs="Calibri"/>
            <w:color w:val="262626" w:themeColor="text1" w:themeTint="D9"/>
          </w:rPr>
          <w:t>www.dinamikyatirim.com.tr</w:t>
        </w:r>
      </w:hyperlink>
      <w:r w:rsidRPr="00776A7F">
        <w:rPr>
          <w:rFonts w:cs="Calibri"/>
          <w:color w:val="262626" w:themeColor="text1" w:themeTint="D9"/>
        </w:rPr>
        <w:t xml:space="preserve"> internet adresinde ve çerçeve sözleşmelerde yer verilmiştir. </w:t>
      </w:r>
    </w:p>
    <w:p w14:paraId="249D3283" w14:textId="77777777" w:rsidR="00776A7F" w:rsidRPr="00776A7F" w:rsidRDefault="00776A7F" w:rsidP="00776A7F">
      <w:pPr>
        <w:spacing w:before="120" w:after="120"/>
        <w:jc w:val="both"/>
        <w:rPr>
          <w:rFonts w:cs="Calibri"/>
          <w:color w:val="262626" w:themeColor="text1" w:themeTint="D9"/>
        </w:rPr>
      </w:pPr>
      <w:r w:rsidRPr="00776A7F">
        <w:rPr>
          <w:rFonts w:cs="Calibri"/>
          <w:color w:val="262626" w:themeColor="text1" w:themeTint="D9"/>
        </w:rPr>
        <w:lastRenderedPageBreak/>
        <w:t>Gerçekleşen işlemlerin tasfiyesi, ilgili Borsa/piyasa düzenlemelerine uygun olarak, emir konusu sermaye piyasası aracının ve/veya satış konusu sermaye piyasası aracının bedelinin ilgili takas süresi sonunda Müşteri’nin hesabına virman yapılması suretiyle gerçekleştirilecektir.</w:t>
      </w:r>
    </w:p>
    <w:p w14:paraId="3DA78BF4" w14:textId="77777777" w:rsidR="00776A7F" w:rsidRPr="00776A7F" w:rsidRDefault="00776A7F" w:rsidP="00776A7F">
      <w:pPr>
        <w:spacing w:before="120" w:after="120"/>
        <w:jc w:val="both"/>
        <w:rPr>
          <w:rFonts w:cs="Calibri"/>
          <w:b/>
          <w:caps/>
          <w:color w:val="262626" w:themeColor="text1" w:themeTint="D9"/>
          <w:u w:val="single"/>
        </w:rPr>
      </w:pPr>
      <w:r w:rsidRPr="00776A7F">
        <w:rPr>
          <w:rFonts w:cs="Calibri"/>
          <w:b/>
          <w:caps/>
          <w:color w:val="262626" w:themeColor="text1" w:themeTint="D9"/>
          <w:u w:val="single"/>
        </w:rPr>
        <w:t>Yatırımcı Tazmin Sistemi</w:t>
      </w:r>
    </w:p>
    <w:p w14:paraId="5FB0EA9A" w14:textId="77777777" w:rsidR="00776A7F" w:rsidRPr="00776A7F" w:rsidRDefault="00776A7F" w:rsidP="00776A7F">
      <w:pPr>
        <w:pStyle w:val="ListeParagraf"/>
        <w:numPr>
          <w:ilvl w:val="0"/>
          <w:numId w:val="23"/>
        </w:numPr>
        <w:spacing w:before="120" w:after="120"/>
        <w:ind w:left="425" w:hanging="425"/>
        <w:jc w:val="both"/>
        <w:rPr>
          <w:rFonts w:cs="Calibri"/>
          <w:color w:val="262626" w:themeColor="text1" w:themeTint="D9"/>
        </w:rPr>
      </w:pPr>
      <w:r w:rsidRPr="00776A7F">
        <w:rPr>
          <w:rFonts w:cs="Calibri"/>
          <w:color w:val="262626" w:themeColor="text1" w:themeTint="D9"/>
        </w:rPr>
        <w:t>Yurt dışı yatırım kuruluşlarının bulunduğu ülke mevzuatı çerçevesinde, yurt dışı piyasalarda gerçekleştirilen işlemlerin tarafı olan, aracılık eden, gerçekleştiren veya saklama hizmeti sunan kuruluşların borç ve yükümlülüklerini yerine getirmemeleri nedeniyle zarara uğrayan yatırımcıları kısmen veya tamamen tazmin etmek üzere bir yatırımcı tazmin sistemi kurulmuş olması mümkündür. Böyle bir tazmin sistemi mevcutsa, söz konusu işlemler ilgili ülkenin/borsanın tazmin sistemi kapsamında yer alır.</w:t>
      </w:r>
    </w:p>
    <w:p w14:paraId="2125036B" w14:textId="77777777" w:rsidR="00776A7F" w:rsidRPr="00776A7F" w:rsidRDefault="00776A7F" w:rsidP="00776A7F">
      <w:pPr>
        <w:pStyle w:val="ListeParagraf"/>
        <w:numPr>
          <w:ilvl w:val="0"/>
          <w:numId w:val="23"/>
        </w:numPr>
        <w:spacing w:before="120" w:after="120"/>
        <w:ind w:left="425" w:hanging="425"/>
        <w:jc w:val="both"/>
        <w:rPr>
          <w:rFonts w:cs="Calibri"/>
          <w:color w:val="262626" w:themeColor="text1" w:themeTint="D9"/>
        </w:rPr>
      </w:pPr>
      <w:r w:rsidRPr="00776A7F">
        <w:rPr>
          <w:rFonts w:cs="Calibri"/>
          <w:color w:val="262626" w:themeColor="text1" w:themeTint="D9"/>
        </w:rPr>
        <w:t>Yurt dışı sermaye piyasası işlemleri, Türkiye’deki Yatırımcı Tazmin Sistemi kapsamında değildir.</w:t>
      </w:r>
    </w:p>
    <w:p w14:paraId="2400E1CF" w14:textId="77777777" w:rsidR="00776A7F" w:rsidRPr="00776A7F" w:rsidRDefault="00776A7F" w:rsidP="00776A7F">
      <w:pPr>
        <w:pStyle w:val="ListeParagraf"/>
        <w:numPr>
          <w:ilvl w:val="0"/>
          <w:numId w:val="23"/>
        </w:numPr>
        <w:spacing w:before="120" w:after="120"/>
        <w:ind w:left="425" w:hanging="425"/>
        <w:jc w:val="both"/>
        <w:rPr>
          <w:rFonts w:cs="Calibri"/>
          <w:color w:val="262626" w:themeColor="text1" w:themeTint="D9"/>
        </w:rPr>
      </w:pPr>
      <w:r w:rsidRPr="00776A7F">
        <w:rPr>
          <w:rFonts w:cs="Calibri"/>
          <w:color w:val="262626" w:themeColor="text1" w:themeTint="D9"/>
        </w:rPr>
        <w:t>Yatırım kararı vermeden önce, işlem gerçekleştirmeyi planladığınız yurt dışı ülkeler, piyasalar ve ürünler özelinde yatırımcı tazmin sistemi bulunup bulunmadığı ve varsa tazmin sisteminin kapsamı hakkında araştırma yapmanızı tavsiye ederiz.</w:t>
      </w:r>
    </w:p>
    <w:p w14:paraId="0A325B7A" w14:textId="77777777" w:rsidR="00776A7F" w:rsidRPr="00776A7F" w:rsidRDefault="00776A7F" w:rsidP="00776A7F">
      <w:pPr>
        <w:spacing w:before="120" w:after="120"/>
        <w:jc w:val="both"/>
        <w:rPr>
          <w:rFonts w:cs="Calibri"/>
          <w:b/>
          <w:caps/>
          <w:color w:val="262626" w:themeColor="text1" w:themeTint="D9"/>
          <w:u w:val="single"/>
        </w:rPr>
      </w:pPr>
      <w:r w:rsidRPr="00776A7F">
        <w:rPr>
          <w:rFonts w:cs="Calibri"/>
          <w:b/>
          <w:caps/>
          <w:color w:val="262626" w:themeColor="text1" w:themeTint="D9"/>
          <w:u w:val="single"/>
        </w:rPr>
        <w:t>Para Transferleri</w:t>
      </w:r>
    </w:p>
    <w:p w14:paraId="48EC0793" w14:textId="77777777" w:rsidR="00776A7F" w:rsidRPr="00776A7F" w:rsidRDefault="00776A7F" w:rsidP="00776A7F">
      <w:pPr>
        <w:pStyle w:val="ListeParagraf"/>
        <w:numPr>
          <w:ilvl w:val="0"/>
          <w:numId w:val="24"/>
        </w:numPr>
        <w:spacing w:before="120" w:after="120"/>
        <w:ind w:left="426" w:hanging="425"/>
        <w:jc w:val="both"/>
        <w:rPr>
          <w:rFonts w:cs="Calibri"/>
          <w:color w:val="262626" w:themeColor="text1" w:themeTint="D9"/>
        </w:rPr>
      </w:pPr>
      <w:r w:rsidRPr="00776A7F">
        <w:rPr>
          <w:rFonts w:cs="Calibri"/>
          <w:color w:val="262626" w:themeColor="text1" w:themeTint="D9"/>
        </w:rPr>
        <w:t xml:space="preserve">Yurt dışı sermaye piyasası işlemleri ve bu işlemler nedeniyle yatırımcının hesabına veya hesabından yapılacak para transferleri, elektronik işlem platformları üzerinden gerçekleştirilir. Söz konusu para transferi işlemleri, sadece yatırımcının yatırım hesabı ile eşleştirilmiş kendi adına açılmış banka hesapları üzerinden yapılabilir. </w:t>
      </w:r>
    </w:p>
    <w:p w14:paraId="21EB6B58" w14:textId="77777777" w:rsidR="00776A7F" w:rsidRPr="00776A7F" w:rsidRDefault="00776A7F" w:rsidP="00776A7F">
      <w:pPr>
        <w:pStyle w:val="ListeParagraf"/>
        <w:numPr>
          <w:ilvl w:val="0"/>
          <w:numId w:val="24"/>
        </w:numPr>
        <w:spacing w:before="120" w:after="120"/>
        <w:ind w:left="426" w:hanging="425"/>
        <w:jc w:val="both"/>
        <w:rPr>
          <w:rFonts w:cs="Calibri"/>
          <w:color w:val="262626" w:themeColor="text1" w:themeTint="D9"/>
        </w:rPr>
      </w:pPr>
      <w:r w:rsidRPr="00776A7F">
        <w:rPr>
          <w:rFonts w:cs="Calibri"/>
          <w:color w:val="262626" w:themeColor="text1" w:themeTint="D9"/>
        </w:rPr>
        <w:t>Yurt dışı piyasalarda gerçekleştirilen işlemlerin takası amacı ile yatırımcının yatırım hesabındaki teminatın yurt dışı yatırım kuruluşuna para transferi, Dinamik Yatırım’ın/yurt dışı yatırım kuruluşunun banka döviz hesapları üzerinden gerçekleşir. Yatırımcının yurt dışı piyasalarda gerçekleştirilen işlemler sonucunda hesabında oluşan nakit de yine ilgili banka hesapları üzerinden yatırımcı hesabına virmanlanır. Transferler için kullanılacak yatırım kuruluşu banka bilgileri platformda paylaşılmaktadır.</w:t>
      </w:r>
    </w:p>
    <w:p w14:paraId="5F81D9BF" w14:textId="77777777" w:rsidR="00776A7F" w:rsidRPr="00776A7F" w:rsidRDefault="00776A7F" w:rsidP="00776A7F">
      <w:pPr>
        <w:pStyle w:val="ListeParagraf"/>
        <w:numPr>
          <w:ilvl w:val="0"/>
          <w:numId w:val="24"/>
        </w:numPr>
        <w:spacing w:before="120" w:after="120"/>
        <w:ind w:left="425" w:hanging="425"/>
        <w:jc w:val="both"/>
        <w:rPr>
          <w:rFonts w:cs="Calibri"/>
          <w:color w:val="262626" w:themeColor="text1" w:themeTint="D9"/>
        </w:rPr>
      </w:pPr>
      <w:r w:rsidRPr="00776A7F">
        <w:rPr>
          <w:rFonts w:cs="Calibri"/>
          <w:color w:val="262626" w:themeColor="text1" w:themeTint="D9"/>
        </w:rPr>
        <w:t>Yurt dışı piyasalarda gerçekleştirilecek işlemlerin döviz cinsi Amerikan Doları (USD)’dır. Yatırımcı, hesabında bulunan TL cinsi teminatı, elektronik işlem platformunda işlem anında geçerli olan döviz kuru üzerinden, uygulama içerisinde dövize çevirebilir. Yurt dışı yatırım kuruluşunun uygulamalarına bağlı olarak USD/TL dışındaki farklı para birimlerinden döviz çevrimi de mümkün olabilir. Yatırımcı, ilgili piyasanın işleyişi gereği bu işlemlerde kullanılacak döviz kurlarına hiçbir itirazı olmayacağını bildiğini, Yatırım Kuruluşu’nun döviz kurları hareketleri nedeniyle doğacak zararlardan sorumluluğu olmadığını kabul ve beyan eder.</w:t>
      </w:r>
    </w:p>
    <w:p w14:paraId="138B58DE" w14:textId="77777777" w:rsidR="00776A7F" w:rsidRPr="00776A7F" w:rsidRDefault="00776A7F" w:rsidP="00776A7F">
      <w:pPr>
        <w:spacing w:before="120" w:after="120"/>
        <w:jc w:val="both"/>
        <w:rPr>
          <w:rFonts w:cs="Calibri"/>
          <w:b/>
          <w:caps/>
          <w:color w:val="262626" w:themeColor="text1" w:themeTint="D9"/>
          <w:u w:val="single"/>
        </w:rPr>
      </w:pPr>
      <w:r w:rsidRPr="00776A7F">
        <w:rPr>
          <w:rFonts w:cs="Calibri"/>
          <w:b/>
          <w:caps/>
          <w:color w:val="262626" w:themeColor="text1" w:themeTint="D9"/>
          <w:u w:val="single"/>
        </w:rPr>
        <w:t>İşlemlere ilişkin komisyon, ücret ve vergi tutar veya oranları</w:t>
      </w:r>
    </w:p>
    <w:p w14:paraId="63DD0660" w14:textId="77777777" w:rsidR="00776A7F" w:rsidRPr="00776A7F" w:rsidRDefault="00776A7F" w:rsidP="00776A7F">
      <w:pPr>
        <w:pStyle w:val="ListeParagraf"/>
        <w:numPr>
          <w:ilvl w:val="0"/>
          <w:numId w:val="25"/>
        </w:numPr>
        <w:spacing w:before="120" w:after="120"/>
        <w:ind w:left="426" w:hanging="425"/>
        <w:jc w:val="both"/>
        <w:rPr>
          <w:rFonts w:cs="Calibri"/>
          <w:color w:val="262626" w:themeColor="text1" w:themeTint="D9"/>
        </w:rPr>
      </w:pPr>
      <w:r w:rsidRPr="00776A7F">
        <w:rPr>
          <w:rFonts w:cs="Calibri"/>
          <w:color w:val="262626" w:themeColor="text1" w:themeTint="D9"/>
        </w:rPr>
        <w:t xml:space="preserve">İşlemlere başlamadan önce, ödemekle yükümlü olduğunuz komisyon, ücret ve masraflar ile ilgili mevzuat kapsamında doğabilecek vergi yükümlülükleri hakkında bilgi sahibi olmanız gerekmektedir. Yurt dışı sermaye piyasalarında işlem yaparken, bu işlemlerden dolayı Türkiye içinde veya ilgili piyasanın içinde bulunduğu yabancı ülke mevzuatı kapsamında doğabilecek vergi yükümlülüklerinin tamamının usulüne uygun olarak ve süresi içinde ödenmesinden veya beyan edilmesinden yatırımcı sorumludur. Yatırımcının vergi yükümlülüklerini zamanında ve tam olarak yerine getirmemesinden dolayı yatırım kuruluşu ve/veya yurt dışı yatırım kuruluşunun maruz kalabileceği her türlü zarar ve kayıpları tam olarak tazmin edeceğini kabul ve taahhüt eder. </w:t>
      </w:r>
    </w:p>
    <w:p w14:paraId="314A86E3" w14:textId="77777777" w:rsidR="00776A7F" w:rsidRPr="00776A7F" w:rsidRDefault="00776A7F" w:rsidP="00776A7F">
      <w:pPr>
        <w:pStyle w:val="ListeParagraf"/>
        <w:numPr>
          <w:ilvl w:val="0"/>
          <w:numId w:val="25"/>
        </w:numPr>
        <w:spacing w:before="120" w:after="120"/>
        <w:ind w:left="425" w:hanging="425"/>
        <w:jc w:val="both"/>
        <w:rPr>
          <w:rFonts w:cs="Calibri"/>
          <w:color w:val="262626" w:themeColor="text1" w:themeTint="D9"/>
        </w:rPr>
      </w:pPr>
      <w:r w:rsidRPr="00776A7F">
        <w:rPr>
          <w:rFonts w:cs="Calibri"/>
          <w:color w:val="262626" w:themeColor="text1" w:themeTint="D9"/>
        </w:rPr>
        <w:t xml:space="preserve">Komisyon ve Masraf Tarifesine çerçeve sözleşmelerin ekinde ve </w:t>
      </w:r>
      <w:hyperlink r:id="rId21" w:history="1">
        <w:r w:rsidRPr="00776A7F">
          <w:rPr>
            <w:rStyle w:val="Kpr"/>
            <w:rFonts w:cs="Calibri"/>
          </w:rPr>
          <w:t>www.dinamikyatirim.com.tr</w:t>
        </w:r>
      </w:hyperlink>
      <w:r w:rsidRPr="00776A7F">
        <w:rPr>
          <w:rFonts w:cs="Calibri"/>
          <w:color w:val="262626" w:themeColor="text1" w:themeTint="D9"/>
        </w:rPr>
        <w:t xml:space="preserve"> internet adresinde yer verilmiştir.  </w:t>
      </w:r>
    </w:p>
    <w:p w14:paraId="13258F87" w14:textId="77777777" w:rsidR="00776A7F" w:rsidRPr="00776A7F" w:rsidRDefault="00776A7F" w:rsidP="00776A7F">
      <w:pPr>
        <w:spacing w:before="120" w:after="120"/>
        <w:rPr>
          <w:rFonts w:cs="Calibri"/>
        </w:rPr>
      </w:pPr>
    </w:p>
    <w:p w14:paraId="2729BEB9" w14:textId="77777777" w:rsidR="00776A7F" w:rsidRPr="00BC4205" w:rsidRDefault="00776A7F">
      <w:pPr>
        <w:rPr>
          <w:rFonts w:cs="Calibri"/>
        </w:rPr>
      </w:pPr>
    </w:p>
    <w:sectPr w:rsidR="00776A7F" w:rsidRPr="00BC4205" w:rsidSect="00593471">
      <w:head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F16F3" w14:textId="77777777" w:rsidR="000251D1" w:rsidRDefault="000251D1" w:rsidP="00593471">
      <w:pPr>
        <w:spacing w:after="0" w:line="240" w:lineRule="auto"/>
      </w:pPr>
      <w:r>
        <w:separator/>
      </w:r>
    </w:p>
  </w:endnote>
  <w:endnote w:type="continuationSeparator" w:id="0">
    <w:p w14:paraId="027388D2" w14:textId="77777777" w:rsidR="000251D1" w:rsidRDefault="000251D1" w:rsidP="0059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A961B" w14:textId="77777777" w:rsidR="000251D1" w:rsidRDefault="000251D1" w:rsidP="00593471">
      <w:pPr>
        <w:spacing w:after="0" w:line="240" w:lineRule="auto"/>
      </w:pPr>
      <w:r>
        <w:separator/>
      </w:r>
    </w:p>
  </w:footnote>
  <w:footnote w:type="continuationSeparator" w:id="0">
    <w:p w14:paraId="4608A71D" w14:textId="77777777" w:rsidR="000251D1" w:rsidRDefault="000251D1" w:rsidP="0059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4EC0C" w14:textId="70B35952" w:rsidR="00593471" w:rsidRPr="005B47D7" w:rsidRDefault="00593471" w:rsidP="00593471">
    <w:pPr>
      <w:pStyle w:val="GvdeMetni"/>
      <w:spacing w:line="14" w:lineRule="auto"/>
    </w:pPr>
    <w:bookmarkStart w:id="22" w:name="_Hlk159949422"/>
    <w:bookmarkStart w:id="23" w:name="_Hlk159949423"/>
  </w:p>
  <w:p w14:paraId="5C907F7E" w14:textId="77777777" w:rsidR="00593471" w:rsidRPr="00354C05" w:rsidRDefault="00593471" w:rsidP="00593471">
    <w:pPr>
      <w:pStyle w:val="stBilgi"/>
      <w:rPr>
        <w:b/>
      </w:rPr>
    </w:pPr>
    <w:r>
      <w:tab/>
    </w:r>
  </w:p>
  <w:bookmarkEnd w:id="22"/>
  <w:bookmarkEnd w:id="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4F18"/>
    <w:multiLevelType w:val="hybridMultilevel"/>
    <w:tmpl w:val="B948AA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CF023682">
      <w:start w:val="1"/>
      <w:numFmt w:val="upp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213D9"/>
    <w:multiLevelType w:val="hybridMultilevel"/>
    <w:tmpl w:val="BDEA5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B1F19"/>
    <w:multiLevelType w:val="hybridMultilevel"/>
    <w:tmpl w:val="885A5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14CD6"/>
    <w:multiLevelType w:val="hybridMultilevel"/>
    <w:tmpl w:val="9D9A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76390"/>
    <w:multiLevelType w:val="hybridMultilevel"/>
    <w:tmpl w:val="556EF154"/>
    <w:lvl w:ilvl="0" w:tplc="E1DAF97A">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C9339C"/>
    <w:multiLevelType w:val="hybridMultilevel"/>
    <w:tmpl w:val="4808A6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076B85"/>
    <w:multiLevelType w:val="hybridMultilevel"/>
    <w:tmpl w:val="3B94F04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B032DB"/>
    <w:multiLevelType w:val="hybridMultilevel"/>
    <w:tmpl w:val="6DCC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D3C3B"/>
    <w:multiLevelType w:val="hybridMultilevel"/>
    <w:tmpl w:val="4F0AA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1508C"/>
    <w:multiLevelType w:val="hybridMultilevel"/>
    <w:tmpl w:val="56906ED0"/>
    <w:lvl w:ilvl="0" w:tplc="930EF21C">
      <w:start w:val="1"/>
      <w:numFmt w:val="decimal"/>
      <w:lvlText w:val="%1."/>
      <w:lvlJc w:val="left"/>
      <w:pPr>
        <w:ind w:left="720" w:hanging="360"/>
      </w:pPr>
      <w:rPr>
        <w:b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E696D"/>
    <w:multiLevelType w:val="hybridMultilevel"/>
    <w:tmpl w:val="92506D90"/>
    <w:lvl w:ilvl="0" w:tplc="15E65DF6">
      <w:start w:val="1"/>
      <w:numFmt w:val="bullet"/>
      <w:lvlText w:val=""/>
      <w:lvlJc w:val="left"/>
      <w:pPr>
        <w:ind w:left="1146" w:hanging="360"/>
      </w:pPr>
      <w:rPr>
        <w:rFonts w:ascii="Symbol" w:hAnsi="Symbol" w:hint="default"/>
        <w:color w:val="92D050"/>
        <w:sz w:val="18"/>
        <w:szCs w:val="18"/>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1" w15:restartNumberingAfterBreak="0">
    <w:nsid w:val="3D94061E"/>
    <w:multiLevelType w:val="hybridMultilevel"/>
    <w:tmpl w:val="9D9A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317CB"/>
    <w:multiLevelType w:val="multilevel"/>
    <w:tmpl w:val="8ECE08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25F5004"/>
    <w:multiLevelType w:val="hybridMultilevel"/>
    <w:tmpl w:val="CC66F39A"/>
    <w:lvl w:ilvl="0" w:tplc="0409000F">
      <w:start w:val="1"/>
      <w:numFmt w:val="decimal"/>
      <w:lvlText w:val="%1."/>
      <w:lvlJc w:val="left"/>
      <w:pPr>
        <w:ind w:left="720" w:hanging="360"/>
      </w:pPr>
    </w:lvl>
    <w:lvl w:ilvl="1" w:tplc="0A2EDB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37996"/>
    <w:multiLevelType w:val="hybridMultilevel"/>
    <w:tmpl w:val="BDEA5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41425"/>
    <w:multiLevelType w:val="hybridMultilevel"/>
    <w:tmpl w:val="CC66F39A"/>
    <w:lvl w:ilvl="0" w:tplc="0409000F">
      <w:start w:val="1"/>
      <w:numFmt w:val="decimal"/>
      <w:lvlText w:val="%1."/>
      <w:lvlJc w:val="left"/>
      <w:pPr>
        <w:ind w:left="720" w:hanging="360"/>
      </w:pPr>
    </w:lvl>
    <w:lvl w:ilvl="1" w:tplc="0A2EDB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D0F1A"/>
    <w:multiLevelType w:val="hybridMultilevel"/>
    <w:tmpl w:val="F8080964"/>
    <w:lvl w:ilvl="0" w:tplc="0409000F">
      <w:start w:val="1"/>
      <w:numFmt w:val="decimal"/>
      <w:lvlText w:val="%1."/>
      <w:lvlJc w:val="left"/>
      <w:pPr>
        <w:ind w:left="720" w:hanging="360"/>
      </w:pPr>
    </w:lvl>
    <w:lvl w:ilvl="1" w:tplc="89FE72EE">
      <w:numFmt w:val="bullet"/>
      <w:lvlText w:val="-"/>
      <w:lvlJc w:val="left"/>
      <w:pPr>
        <w:ind w:left="1440" w:hanging="360"/>
      </w:pPr>
      <w:rPr>
        <w:rFonts w:ascii="Calibri" w:eastAsia="Calibri" w:hAnsi="Calibri" w:cs="Calibri" w:hint="default"/>
      </w:rPr>
    </w:lvl>
    <w:lvl w:ilvl="2" w:tplc="9A040570">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0341D"/>
    <w:multiLevelType w:val="hybridMultilevel"/>
    <w:tmpl w:val="E2C89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BF59C5"/>
    <w:multiLevelType w:val="hybridMultilevel"/>
    <w:tmpl w:val="4F0AA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3D2EBA"/>
    <w:multiLevelType w:val="hybridMultilevel"/>
    <w:tmpl w:val="CC66F39A"/>
    <w:lvl w:ilvl="0" w:tplc="0409000F">
      <w:start w:val="1"/>
      <w:numFmt w:val="decimal"/>
      <w:lvlText w:val="%1."/>
      <w:lvlJc w:val="left"/>
      <w:pPr>
        <w:ind w:left="720" w:hanging="360"/>
      </w:pPr>
    </w:lvl>
    <w:lvl w:ilvl="1" w:tplc="0A2EDB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86E68"/>
    <w:multiLevelType w:val="hybridMultilevel"/>
    <w:tmpl w:val="9D9A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005CC"/>
    <w:multiLevelType w:val="hybridMultilevel"/>
    <w:tmpl w:val="0ED45C2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EE0CEF8E">
      <w:start w:val="3"/>
      <w:numFmt w:val="bullet"/>
      <w:lvlText w:val=""/>
      <w:lvlJc w:val="left"/>
      <w:pPr>
        <w:ind w:left="2340" w:hanging="360"/>
      </w:pPr>
      <w:rPr>
        <w:rFonts w:ascii="Wingdings" w:eastAsia="Calibri" w:hAnsi="Wingdings" w:cs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A5D91"/>
    <w:multiLevelType w:val="hybridMultilevel"/>
    <w:tmpl w:val="4F0AA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80F90"/>
    <w:multiLevelType w:val="hybridMultilevel"/>
    <w:tmpl w:val="4F0AA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04CD3"/>
    <w:multiLevelType w:val="hybridMultilevel"/>
    <w:tmpl w:val="F5BCD1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D16BA"/>
    <w:multiLevelType w:val="hybridMultilevel"/>
    <w:tmpl w:val="E2C89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07992629">
    <w:abstractNumId w:val="13"/>
  </w:num>
  <w:num w:numId="2" w16cid:durableId="1970431558">
    <w:abstractNumId w:val="11"/>
  </w:num>
  <w:num w:numId="3" w16cid:durableId="52968440">
    <w:abstractNumId w:val="1"/>
  </w:num>
  <w:num w:numId="4" w16cid:durableId="1579049797">
    <w:abstractNumId w:val="3"/>
  </w:num>
  <w:num w:numId="5" w16cid:durableId="1894274569">
    <w:abstractNumId w:val="20"/>
  </w:num>
  <w:num w:numId="6" w16cid:durableId="299966203">
    <w:abstractNumId w:val="14"/>
  </w:num>
  <w:num w:numId="7" w16cid:durableId="1267620011">
    <w:abstractNumId w:val="21"/>
  </w:num>
  <w:num w:numId="8" w16cid:durableId="1548181709">
    <w:abstractNumId w:val="24"/>
  </w:num>
  <w:num w:numId="9" w16cid:durableId="839078862">
    <w:abstractNumId w:val="17"/>
  </w:num>
  <w:num w:numId="10" w16cid:durableId="1691879743">
    <w:abstractNumId w:val="25"/>
  </w:num>
  <w:num w:numId="11" w16cid:durableId="270743329">
    <w:abstractNumId w:val="15"/>
  </w:num>
  <w:num w:numId="12" w16cid:durableId="1132987953">
    <w:abstractNumId w:val="7"/>
  </w:num>
  <w:num w:numId="13" w16cid:durableId="1541547984">
    <w:abstractNumId w:val="19"/>
  </w:num>
  <w:num w:numId="14" w16cid:durableId="1893617811">
    <w:abstractNumId w:val="2"/>
  </w:num>
  <w:num w:numId="15" w16cid:durableId="150416947">
    <w:abstractNumId w:val="9"/>
  </w:num>
  <w:num w:numId="16" w16cid:durableId="252210010">
    <w:abstractNumId w:val="0"/>
  </w:num>
  <w:num w:numId="17" w16cid:durableId="1096555975">
    <w:abstractNumId w:val="5"/>
  </w:num>
  <w:num w:numId="18" w16cid:durableId="691564835">
    <w:abstractNumId w:val="6"/>
  </w:num>
  <w:num w:numId="19" w16cid:durableId="1177694414">
    <w:abstractNumId w:val="4"/>
  </w:num>
  <w:num w:numId="20" w16cid:durableId="752555153">
    <w:abstractNumId w:val="23"/>
  </w:num>
  <w:num w:numId="21" w16cid:durableId="1913352404">
    <w:abstractNumId w:val="18"/>
  </w:num>
  <w:num w:numId="22" w16cid:durableId="2144151684">
    <w:abstractNumId w:val="8"/>
  </w:num>
  <w:num w:numId="23" w16cid:durableId="2097167500">
    <w:abstractNumId w:val="22"/>
  </w:num>
  <w:num w:numId="24" w16cid:durableId="1788770711">
    <w:abstractNumId w:val="16"/>
  </w:num>
  <w:num w:numId="25" w16cid:durableId="95442898">
    <w:abstractNumId w:val="12"/>
  </w:num>
  <w:num w:numId="26" w16cid:durableId="299263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11"/>
    <w:rsid w:val="000251D1"/>
    <w:rsid w:val="00036B2E"/>
    <w:rsid w:val="0006405C"/>
    <w:rsid w:val="00071C8E"/>
    <w:rsid w:val="00084A68"/>
    <w:rsid w:val="00171CE7"/>
    <w:rsid w:val="00213908"/>
    <w:rsid w:val="00293A09"/>
    <w:rsid w:val="002C0A4B"/>
    <w:rsid w:val="00381398"/>
    <w:rsid w:val="003D0DC9"/>
    <w:rsid w:val="00593471"/>
    <w:rsid w:val="00636E11"/>
    <w:rsid w:val="006E6F6A"/>
    <w:rsid w:val="007620FB"/>
    <w:rsid w:val="00767B29"/>
    <w:rsid w:val="00776A7F"/>
    <w:rsid w:val="00874CBB"/>
    <w:rsid w:val="008D14F3"/>
    <w:rsid w:val="008F63FA"/>
    <w:rsid w:val="0090157D"/>
    <w:rsid w:val="00A714ED"/>
    <w:rsid w:val="00A774C9"/>
    <w:rsid w:val="00B33FFC"/>
    <w:rsid w:val="00B572F1"/>
    <w:rsid w:val="00BC4205"/>
    <w:rsid w:val="00C46F77"/>
    <w:rsid w:val="00C76056"/>
    <w:rsid w:val="00D70ECC"/>
    <w:rsid w:val="00F24780"/>
    <w:rsid w:val="00F5622D"/>
    <w:rsid w:val="00F86ED1"/>
    <w:rsid w:val="00FB5A61"/>
    <w:rsid w:val="00FC53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BF79"/>
  <w15:chartTrackingRefBased/>
  <w15:docId w15:val="{F0E05F51-65AC-469B-98E8-A29FD1D9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E11"/>
    <w:pPr>
      <w:spacing w:after="200" w:line="276" w:lineRule="auto"/>
    </w:pPr>
    <w:rPr>
      <w:rFonts w:ascii="Calibri" w:eastAsia="Calibri" w:hAnsi="Calibri" w:cs="Times New Roman"/>
      <w:kern w:val="0"/>
      <w14:ligatures w14:val="none"/>
    </w:rPr>
  </w:style>
  <w:style w:type="paragraph" w:styleId="Balk1">
    <w:name w:val="heading 1"/>
    <w:basedOn w:val="Normal"/>
    <w:next w:val="Normal"/>
    <w:link w:val="Balk1Char"/>
    <w:uiPriority w:val="9"/>
    <w:qFormat/>
    <w:rsid w:val="00636E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36E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36E1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36E1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36E1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36E1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6E1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6E1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6E1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6E1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36E1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36E1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36E1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36E1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36E1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6E1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6E1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6E11"/>
    <w:rPr>
      <w:rFonts w:eastAsiaTheme="majorEastAsia" w:cstheme="majorBidi"/>
      <w:color w:val="272727" w:themeColor="text1" w:themeTint="D8"/>
    </w:rPr>
  </w:style>
  <w:style w:type="paragraph" w:styleId="KonuBal">
    <w:name w:val="Title"/>
    <w:basedOn w:val="Normal"/>
    <w:next w:val="Normal"/>
    <w:link w:val="KonuBalChar"/>
    <w:uiPriority w:val="10"/>
    <w:qFormat/>
    <w:rsid w:val="00636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6E1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6E1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6E1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6E1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6E11"/>
    <w:rPr>
      <w:i/>
      <w:iCs/>
      <w:color w:val="404040" w:themeColor="text1" w:themeTint="BF"/>
    </w:rPr>
  </w:style>
  <w:style w:type="paragraph" w:styleId="ListeParagraf">
    <w:name w:val="List Paragraph"/>
    <w:basedOn w:val="Normal"/>
    <w:link w:val="ListeParagrafChar"/>
    <w:uiPriority w:val="34"/>
    <w:qFormat/>
    <w:rsid w:val="00636E11"/>
    <w:pPr>
      <w:ind w:left="720"/>
      <w:contextualSpacing/>
    </w:pPr>
  </w:style>
  <w:style w:type="character" w:styleId="GlVurgulama">
    <w:name w:val="Intense Emphasis"/>
    <w:basedOn w:val="VarsaylanParagrafYazTipi"/>
    <w:uiPriority w:val="21"/>
    <w:qFormat/>
    <w:rsid w:val="00636E11"/>
    <w:rPr>
      <w:i/>
      <w:iCs/>
      <w:color w:val="2E74B5" w:themeColor="accent1" w:themeShade="BF"/>
    </w:rPr>
  </w:style>
  <w:style w:type="paragraph" w:styleId="GlAlnt">
    <w:name w:val="Intense Quote"/>
    <w:basedOn w:val="Normal"/>
    <w:next w:val="Normal"/>
    <w:link w:val="GlAlntChar"/>
    <w:uiPriority w:val="30"/>
    <w:qFormat/>
    <w:rsid w:val="00636E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36E11"/>
    <w:rPr>
      <w:i/>
      <w:iCs/>
      <w:color w:val="2E74B5" w:themeColor="accent1" w:themeShade="BF"/>
    </w:rPr>
  </w:style>
  <w:style w:type="character" w:styleId="GlBavuru">
    <w:name w:val="Intense Reference"/>
    <w:basedOn w:val="VarsaylanParagrafYazTipi"/>
    <w:uiPriority w:val="32"/>
    <w:qFormat/>
    <w:rsid w:val="00636E11"/>
    <w:rPr>
      <w:b/>
      <w:bCs/>
      <w:smallCaps/>
      <w:color w:val="2E74B5" w:themeColor="accent1" w:themeShade="BF"/>
      <w:spacing w:val="5"/>
    </w:rPr>
  </w:style>
  <w:style w:type="paragraph" w:customStyle="1" w:styleId="Style3">
    <w:name w:val="Style3"/>
    <w:basedOn w:val="Balk1"/>
    <w:link w:val="Style3Char"/>
    <w:autoRedefine/>
    <w:qFormat/>
    <w:rsid w:val="00776A7F"/>
    <w:pPr>
      <w:tabs>
        <w:tab w:val="left" w:pos="142"/>
        <w:tab w:val="left" w:pos="284"/>
      </w:tabs>
      <w:spacing w:before="120" w:after="120"/>
      <w:jc w:val="center"/>
    </w:pPr>
    <w:rPr>
      <w:rFonts w:ascii="Calibri" w:eastAsia="Calibri" w:hAnsi="Calibri" w:cs="Calibri"/>
      <w:b/>
      <w:bCs/>
      <w:color w:val="262626" w:themeColor="text1" w:themeTint="D9"/>
      <w:sz w:val="24"/>
      <w:szCs w:val="24"/>
      <w:lang w:eastAsia="tr-TR"/>
    </w:rPr>
  </w:style>
  <w:style w:type="character" w:customStyle="1" w:styleId="Style3Char">
    <w:name w:val="Style3 Char"/>
    <w:basedOn w:val="Balk1Char"/>
    <w:link w:val="Style3"/>
    <w:rsid w:val="00776A7F"/>
    <w:rPr>
      <w:rFonts w:ascii="Calibri" w:eastAsia="Calibri" w:hAnsi="Calibri" w:cs="Calibri"/>
      <w:b/>
      <w:bCs/>
      <w:color w:val="262626" w:themeColor="text1" w:themeTint="D9"/>
      <w:kern w:val="0"/>
      <w:sz w:val="24"/>
      <w:szCs w:val="24"/>
      <w:lang w:eastAsia="tr-TR"/>
      <w14:ligatures w14:val="none"/>
    </w:rPr>
  </w:style>
  <w:style w:type="character" w:styleId="Kpr">
    <w:name w:val="Hyperlink"/>
    <w:uiPriority w:val="99"/>
    <w:rsid w:val="00636E11"/>
    <w:rPr>
      <w:rFonts w:cs="Times New Roman"/>
      <w:color w:val="0000FF"/>
      <w:u w:val="single"/>
    </w:rPr>
  </w:style>
  <w:style w:type="paragraph" w:customStyle="1" w:styleId="Default">
    <w:name w:val="Default"/>
    <w:rsid w:val="00636E11"/>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oKlavuzu">
    <w:name w:val="Table Grid"/>
    <w:basedOn w:val="NormalTablo"/>
    <w:uiPriority w:val="39"/>
    <w:rsid w:val="00636E11"/>
    <w:pPr>
      <w:spacing w:after="0" w:line="240" w:lineRule="auto"/>
    </w:pPr>
    <w:rPr>
      <w:rFonts w:ascii="Calibri" w:eastAsia="Calibri"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6E1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eParagrafChar">
    <w:name w:val="Liste Paragraf Char"/>
    <w:basedOn w:val="VarsaylanParagrafYazTipi"/>
    <w:link w:val="ListeParagraf"/>
    <w:uiPriority w:val="34"/>
    <w:rsid w:val="00636E11"/>
  </w:style>
  <w:style w:type="paragraph" w:styleId="TBal">
    <w:name w:val="TOC Heading"/>
    <w:basedOn w:val="Balk1"/>
    <w:next w:val="Normal"/>
    <w:uiPriority w:val="39"/>
    <w:unhideWhenUsed/>
    <w:qFormat/>
    <w:rsid w:val="0090157D"/>
    <w:pPr>
      <w:spacing w:before="240" w:after="0" w:line="259" w:lineRule="auto"/>
      <w:outlineLvl w:val="9"/>
    </w:pPr>
    <w:rPr>
      <w:sz w:val="32"/>
      <w:szCs w:val="32"/>
      <w:lang w:eastAsia="tr-TR"/>
    </w:rPr>
  </w:style>
  <w:style w:type="paragraph" w:styleId="T2">
    <w:name w:val="toc 2"/>
    <w:basedOn w:val="Normal"/>
    <w:next w:val="Normal"/>
    <w:autoRedefine/>
    <w:uiPriority w:val="39"/>
    <w:unhideWhenUsed/>
    <w:rsid w:val="0090157D"/>
    <w:pPr>
      <w:spacing w:after="100" w:line="259" w:lineRule="auto"/>
      <w:ind w:left="220"/>
    </w:pPr>
    <w:rPr>
      <w:rFonts w:asciiTheme="minorHAnsi" w:eastAsiaTheme="minorEastAsia" w:hAnsiTheme="minorHAnsi"/>
      <w:lang w:eastAsia="tr-TR"/>
    </w:rPr>
  </w:style>
  <w:style w:type="paragraph" w:styleId="T1">
    <w:name w:val="toc 1"/>
    <w:basedOn w:val="Normal"/>
    <w:next w:val="Normal"/>
    <w:autoRedefine/>
    <w:uiPriority w:val="39"/>
    <w:unhideWhenUsed/>
    <w:rsid w:val="0090157D"/>
    <w:pPr>
      <w:spacing w:after="100" w:line="259" w:lineRule="auto"/>
    </w:pPr>
    <w:rPr>
      <w:rFonts w:asciiTheme="minorHAnsi" w:eastAsiaTheme="minorEastAsia" w:hAnsiTheme="minorHAnsi"/>
      <w:lang w:eastAsia="tr-TR"/>
    </w:rPr>
  </w:style>
  <w:style w:type="paragraph" w:styleId="T3">
    <w:name w:val="toc 3"/>
    <w:basedOn w:val="Normal"/>
    <w:next w:val="Normal"/>
    <w:autoRedefine/>
    <w:uiPriority w:val="39"/>
    <w:unhideWhenUsed/>
    <w:rsid w:val="00BC4205"/>
    <w:pPr>
      <w:spacing w:after="100" w:line="259" w:lineRule="auto"/>
    </w:pPr>
    <w:rPr>
      <w:rFonts w:eastAsiaTheme="minorEastAsia" w:cs="Calibri"/>
      <w:b/>
      <w:bCs/>
      <w:lang w:eastAsia="tr-TR"/>
    </w:rPr>
  </w:style>
  <w:style w:type="character" w:styleId="zmlenmeyenBahsetme">
    <w:name w:val="Unresolved Mention"/>
    <w:basedOn w:val="VarsaylanParagrafYazTipi"/>
    <w:uiPriority w:val="99"/>
    <w:semiHidden/>
    <w:unhideWhenUsed/>
    <w:rsid w:val="00D70ECC"/>
    <w:rPr>
      <w:color w:val="605E5C"/>
      <w:shd w:val="clear" w:color="auto" w:fill="E1DFDD"/>
    </w:rPr>
  </w:style>
  <w:style w:type="character" w:styleId="zlenenKpr">
    <w:name w:val="FollowedHyperlink"/>
    <w:basedOn w:val="VarsaylanParagrafYazTipi"/>
    <w:uiPriority w:val="99"/>
    <w:semiHidden/>
    <w:unhideWhenUsed/>
    <w:rsid w:val="007620FB"/>
    <w:rPr>
      <w:color w:val="954F72" w:themeColor="followedHyperlink"/>
      <w:u w:val="single"/>
    </w:rPr>
  </w:style>
  <w:style w:type="character" w:styleId="HafifVurgulama">
    <w:name w:val="Subtle Emphasis"/>
    <w:basedOn w:val="VarsaylanParagrafYazTipi"/>
    <w:uiPriority w:val="19"/>
    <w:qFormat/>
    <w:rsid w:val="007620FB"/>
    <w:rPr>
      <w:i/>
      <w:iCs/>
      <w:color w:val="404040" w:themeColor="text1" w:themeTint="BF"/>
    </w:rPr>
  </w:style>
  <w:style w:type="paragraph" w:styleId="stBilgi">
    <w:name w:val="header"/>
    <w:basedOn w:val="Normal"/>
    <w:link w:val="stBilgiChar"/>
    <w:uiPriority w:val="99"/>
    <w:unhideWhenUsed/>
    <w:rsid w:val="0059347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3471"/>
    <w:rPr>
      <w:rFonts w:ascii="Calibri" w:eastAsia="Calibri" w:hAnsi="Calibri" w:cs="Times New Roman"/>
      <w:kern w:val="0"/>
      <w14:ligatures w14:val="none"/>
    </w:rPr>
  </w:style>
  <w:style w:type="paragraph" w:styleId="AltBilgi">
    <w:name w:val="footer"/>
    <w:basedOn w:val="Normal"/>
    <w:link w:val="AltBilgiChar"/>
    <w:uiPriority w:val="99"/>
    <w:unhideWhenUsed/>
    <w:rsid w:val="0059347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3471"/>
    <w:rPr>
      <w:rFonts w:ascii="Calibri" w:eastAsia="Calibri" w:hAnsi="Calibri" w:cs="Times New Roman"/>
      <w:kern w:val="0"/>
      <w14:ligatures w14:val="none"/>
    </w:rPr>
  </w:style>
  <w:style w:type="paragraph" w:styleId="GvdeMetni">
    <w:name w:val="Body Text"/>
    <w:basedOn w:val="Normal"/>
    <w:link w:val="GvdeMetniChar"/>
    <w:unhideWhenUsed/>
    <w:qFormat/>
    <w:rsid w:val="00593471"/>
    <w:pPr>
      <w:spacing w:after="120"/>
    </w:pPr>
  </w:style>
  <w:style w:type="character" w:customStyle="1" w:styleId="GvdeMetniChar">
    <w:name w:val="Gövde Metni Char"/>
    <w:basedOn w:val="VarsaylanParagrafYazTipi"/>
    <w:link w:val="GvdeMetni"/>
    <w:rsid w:val="0059347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k.gov.tr" TargetMode="External"/><Relationship Id="rId13" Type="http://schemas.openxmlformats.org/officeDocument/2006/relationships/hyperlink" Target="http://www.spk.gov.tr" TargetMode="External"/><Relationship Id="rId18" Type="http://schemas.openxmlformats.org/officeDocument/2006/relationships/hyperlink" Target="https://tspb.org.tr/tr/" TargetMode="External"/><Relationship Id="rId3" Type="http://schemas.openxmlformats.org/officeDocument/2006/relationships/styles" Target="styles.xml"/><Relationship Id="rId21" Type="http://schemas.openxmlformats.org/officeDocument/2006/relationships/hyperlink" Target="http://www.dinamikyatirim.com.tr" TargetMode="External"/><Relationship Id="rId7" Type="http://schemas.openxmlformats.org/officeDocument/2006/relationships/endnotes" Target="endnotes.xml"/><Relationship Id="rId12" Type="http://schemas.openxmlformats.org/officeDocument/2006/relationships/hyperlink" Target="https://borsaistanbul.com/tr/sayfa/506/pazarlar" TargetMode="External"/><Relationship Id="rId17" Type="http://schemas.openxmlformats.org/officeDocument/2006/relationships/hyperlink" Target="file:///C:\Users\ozlem.taylanli\Documents\Yeni%20S&#246;zle&#351;meler_Dinamik\&#199;al&#305;&#351;ma\www.spk.gov.tr" TargetMode="External"/><Relationship Id="rId2" Type="http://schemas.openxmlformats.org/officeDocument/2006/relationships/numbering" Target="numbering.xml"/><Relationship Id="rId16" Type="http://schemas.openxmlformats.org/officeDocument/2006/relationships/hyperlink" Target="http://www.kap.gov.tr/yatirim-fonlari/faal-yatirim-fonlari.aspx" TargetMode="External"/><Relationship Id="rId20" Type="http://schemas.openxmlformats.org/officeDocument/2006/relationships/hyperlink" Target="http://www.dinamikyatirim.com.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namikyatirim.com.t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ap.gov.tr" TargetMode="External"/><Relationship Id="rId23" Type="http://schemas.openxmlformats.org/officeDocument/2006/relationships/fontTable" Target="fontTable.xml"/><Relationship Id="rId10" Type="http://schemas.openxmlformats.org/officeDocument/2006/relationships/hyperlink" Target="http://www.dinamikyatirim.com.tr" TargetMode="External"/><Relationship Id="rId19" Type="http://schemas.openxmlformats.org/officeDocument/2006/relationships/hyperlink" Target="http://www.dinamikyatirim.com.tr" TargetMode="External"/><Relationship Id="rId4" Type="http://schemas.openxmlformats.org/officeDocument/2006/relationships/settings" Target="settings.xml"/><Relationship Id="rId9" Type="http://schemas.openxmlformats.org/officeDocument/2006/relationships/hyperlink" Target="http://www.tspakb.org.tr" TargetMode="External"/><Relationship Id="rId14" Type="http://schemas.openxmlformats.org/officeDocument/2006/relationships/hyperlink" Target="http://www.borsaistanbul.com" TargetMode="External"/><Relationship Id="rId22"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9E6C-919B-4B1A-B512-5E5C1192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19599</Words>
  <Characters>111718</Characters>
  <Application>Microsoft Office Word</Application>
  <DocSecurity>0</DocSecurity>
  <Lines>930</Lines>
  <Paragraphs>262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Ünal</dc:creator>
  <cp:keywords/>
  <dc:description/>
  <cp:lastModifiedBy>Özlem Ünal</cp:lastModifiedBy>
  <cp:revision>2</cp:revision>
  <dcterms:created xsi:type="dcterms:W3CDTF">2024-09-10T08:01:00Z</dcterms:created>
  <dcterms:modified xsi:type="dcterms:W3CDTF">2024-09-10T08:01:00Z</dcterms:modified>
</cp:coreProperties>
</file>